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00" w:lineRule="exact"/>
        <w:ind w:right="480"/>
        <w:jc w:val="left"/>
        <w:rPr>
          <w:rFonts w:ascii="黑体" w:hAnsi="黑体" w:eastAsia="黑体" w:cs="宋体"/>
          <w:color w:val="000000"/>
          <w:kern w:val="0"/>
        </w:rPr>
      </w:pPr>
      <w:bookmarkStart w:id="1" w:name="_GoBack"/>
      <w:bookmarkEnd w:id="1"/>
      <w:r>
        <w:rPr>
          <w:rFonts w:hint="eastAsia" w:ascii="黑体" w:hAnsi="黑体" w:eastAsia="黑体" w:cs="宋体"/>
          <w:color w:val="000000"/>
          <w:kern w:val="0"/>
        </w:rPr>
        <w:t>附件</w:t>
      </w:r>
    </w:p>
    <w:p>
      <w:pPr>
        <w:jc w:val="center"/>
        <w:rPr>
          <w:rFonts w:ascii="华文中宋" w:hAnsi="华文中宋" w:eastAsia="华文中宋"/>
          <w:b/>
          <w:sz w:val="36"/>
          <w:szCs w:val="36"/>
        </w:rPr>
      </w:pPr>
      <w:r>
        <w:rPr>
          <w:rFonts w:hint="eastAsia" w:ascii="华文中宋" w:hAnsi="华文中宋" w:eastAsia="华文中宋"/>
          <w:b/>
          <w:sz w:val="36"/>
          <w:szCs w:val="36"/>
        </w:rPr>
        <w:t>2019年北京市残疾人基本需求和服务状况动态更新督导及质量控制项目</w:t>
      </w:r>
      <w:r>
        <w:rPr>
          <w:rFonts w:hint="eastAsia" w:ascii="华文中宋" w:hAnsi="华文中宋" w:eastAsia="华文中宋" w:cs="Times New Roman"/>
          <w:b/>
          <w:sz w:val="36"/>
          <w:szCs w:val="36"/>
        </w:rPr>
        <w:t>综合</w:t>
      </w:r>
      <w:r>
        <w:rPr>
          <w:rFonts w:hint="eastAsia" w:ascii="华文中宋" w:hAnsi="华文中宋" w:eastAsia="华文中宋" w:cs="宋体"/>
          <w:b/>
          <w:color w:val="000000"/>
          <w:kern w:val="0"/>
          <w:sz w:val="36"/>
          <w:szCs w:val="36"/>
        </w:rPr>
        <w:t>评分表</w:t>
      </w:r>
    </w:p>
    <w:tbl>
      <w:tblPr>
        <w:tblStyle w:val="10"/>
        <w:tblW w:w="1429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9"/>
        <w:gridCol w:w="1033"/>
        <w:gridCol w:w="1047"/>
        <w:gridCol w:w="8665"/>
        <w:gridCol w:w="834"/>
        <w:gridCol w:w="713"/>
        <w:gridCol w:w="713"/>
        <w:gridCol w:w="7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  <w:tblHeader/>
          <w:jc w:val="center"/>
        </w:trPr>
        <w:tc>
          <w:tcPr>
            <w:tcW w:w="11324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采购单位：  北京市残疾人社会服务指导中心</w:t>
            </w:r>
          </w:p>
        </w:tc>
        <w:tc>
          <w:tcPr>
            <w:tcW w:w="2973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  <w:tblHeader/>
          <w:jc w:val="center"/>
        </w:trPr>
        <w:tc>
          <w:tcPr>
            <w:tcW w:w="579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033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项目</w:t>
            </w:r>
          </w:p>
        </w:tc>
        <w:tc>
          <w:tcPr>
            <w:tcW w:w="1047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标准分</w:t>
            </w:r>
          </w:p>
        </w:tc>
        <w:tc>
          <w:tcPr>
            <w:tcW w:w="8665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ind w:firstLine="482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评分标准</w:t>
            </w:r>
          </w:p>
        </w:tc>
        <w:tc>
          <w:tcPr>
            <w:tcW w:w="834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分值</w:t>
            </w:r>
          </w:p>
        </w:tc>
        <w:tc>
          <w:tcPr>
            <w:tcW w:w="713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得分1</w:t>
            </w:r>
          </w:p>
        </w:tc>
        <w:tc>
          <w:tcPr>
            <w:tcW w:w="713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得分2</w:t>
            </w:r>
          </w:p>
        </w:tc>
        <w:tc>
          <w:tcPr>
            <w:tcW w:w="713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得分3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579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033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技术部分</w:t>
            </w:r>
          </w:p>
          <w:p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（60分）</w:t>
            </w:r>
          </w:p>
        </w:tc>
        <w:tc>
          <w:tcPr>
            <w:tcW w:w="104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响应文件响应程度（8分）</w:t>
            </w:r>
          </w:p>
        </w:tc>
        <w:tc>
          <w:tcPr>
            <w:tcW w:w="8665" w:type="dxa"/>
            <w:vAlign w:val="center"/>
          </w:tcPr>
          <w:p>
            <w:pPr>
              <w:spacing w:line="240" w:lineRule="exact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依据磋商文件要求编制完整、准确、清晰、具有创新内容的商务、技术文件。响应文件包含所有的资质、商务和技术文件，文字表述严谨准确、符合项目需求，内容表达结构完整、层次清晰，在质量控制方式等符合委托方要求。优：6-8分   良：3-5分    差：0-2分</w:t>
            </w:r>
          </w:p>
        </w:tc>
        <w:tc>
          <w:tcPr>
            <w:tcW w:w="834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0-8分</w:t>
            </w:r>
          </w:p>
        </w:tc>
        <w:tc>
          <w:tcPr>
            <w:tcW w:w="713" w:type="dxa"/>
            <w:vAlign w:val="center"/>
          </w:tcPr>
          <w:p>
            <w:pPr>
              <w:spacing w:line="240" w:lineRule="exact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spacing w:line="240" w:lineRule="exact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spacing w:line="240" w:lineRule="exact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57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总体理解（10分）</w:t>
            </w:r>
          </w:p>
        </w:tc>
        <w:tc>
          <w:tcPr>
            <w:tcW w:w="8665" w:type="dxa"/>
            <w:vAlign w:val="center"/>
          </w:tcPr>
          <w:p>
            <w:pPr>
              <w:spacing w:line="240" w:lineRule="exact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对本项目的实施目的、项目特点理解到位。能够准确解读本项目的实施背景和目的，并结合项目需求准确把握项目实施的重点和难点。优：8-10分   良：4-7分    差：0-3分</w:t>
            </w:r>
          </w:p>
        </w:tc>
        <w:tc>
          <w:tcPr>
            <w:tcW w:w="834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0-10分</w:t>
            </w:r>
          </w:p>
        </w:tc>
        <w:tc>
          <w:tcPr>
            <w:tcW w:w="713" w:type="dxa"/>
            <w:vAlign w:val="center"/>
          </w:tcPr>
          <w:p>
            <w:pPr>
              <w:spacing w:line="240" w:lineRule="exact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spacing w:line="240" w:lineRule="exact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spacing w:line="240" w:lineRule="exact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  <w:jc w:val="center"/>
        </w:trPr>
        <w:tc>
          <w:tcPr>
            <w:tcW w:w="57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47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实施方案与组织保障评价（24分）</w:t>
            </w:r>
          </w:p>
        </w:tc>
        <w:tc>
          <w:tcPr>
            <w:tcW w:w="8665" w:type="dxa"/>
            <w:vAlign w:val="center"/>
          </w:tcPr>
          <w:p>
            <w:pPr>
              <w:spacing w:line="240" w:lineRule="exact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1.结合北京市残疾人</w:t>
            </w:r>
            <w:r>
              <w:rPr>
                <w:rFonts w:hint="eastAsia" w:ascii="宋体" w:hAnsi="宋体"/>
                <w:bCs/>
                <w:color w:val="000000"/>
                <w:sz w:val="18"/>
                <w:szCs w:val="18"/>
                <w:lang w:eastAsia="zh-CN"/>
              </w:rPr>
              <w:t>需求采集和服务响应常态化</w:t>
            </w: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工作质量控制项目的需求，设计具有科学性、合理性、实效性的质量控制方案。优：8-10分   良：4-7分    差：0-3分</w:t>
            </w:r>
          </w:p>
        </w:tc>
        <w:tc>
          <w:tcPr>
            <w:tcW w:w="834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0-10分</w:t>
            </w:r>
          </w:p>
        </w:tc>
        <w:tc>
          <w:tcPr>
            <w:tcW w:w="713" w:type="dxa"/>
            <w:vAlign w:val="center"/>
          </w:tcPr>
          <w:p>
            <w:pPr>
              <w:spacing w:line="240" w:lineRule="exact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spacing w:line="240" w:lineRule="exact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spacing w:line="240" w:lineRule="exact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  <w:jc w:val="center"/>
        </w:trPr>
        <w:tc>
          <w:tcPr>
            <w:tcW w:w="57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4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665" w:type="dxa"/>
            <w:vAlign w:val="center"/>
          </w:tcPr>
          <w:p>
            <w:pPr>
              <w:spacing w:line="240" w:lineRule="exact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2.设计具有合理性、实效性、创新性的质量控制方法。评估方法符合北京市残疾人</w:t>
            </w:r>
            <w:r>
              <w:rPr>
                <w:rFonts w:hint="eastAsia" w:ascii="宋体" w:hAnsi="宋体"/>
                <w:bCs/>
                <w:color w:val="000000"/>
                <w:sz w:val="18"/>
                <w:szCs w:val="18"/>
                <w:lang w:eastAsia="zh-CN"/>
              </w:rPr>
              <w:t>需求采集和服务响应常</w:t>
            </w: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工作实际，能够落地执行，同时，在质量控制方法体现系统性。优：8-10分   良：4-7分    差：0-3分</w:t>
            </w:r>
          </w:p>
        </w:tc>
        <w:tc>
          <w:tcPr>
            <w:tcW w:w="834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0-10分</w:t>
            </w:r>
          </w:p>
        </w:tc>
        <w:tc>
          <w:tcPr>
            <w:tcW w:w="713" w:type="dxa"/>
            <w:vAlign w:val="center"/>
          </w:tcPr>
          <w:p>
            <w:pPr>
              <w:spacing w:line="240" w:lineRule="exact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spacing w:line="240" w:lineRule="exact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spacing w:line="240" w:lineRule="exact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57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4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665" w:type="dxa"/>
            <w:vAlign w:val="center"/>
          </w:tcPr>
          <w:p>
            <w:pPr>
              <w:spacing w:line="240" w:lineRule="exact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3.设计合理、详细的时间安排，满足项目要求。工作进度安排紧凑有序，时间安排须明确到项目执行的各个环节。优： 4分   良：2-3分    差：0-1分</w:t>
            </w:r>
          </w:p>
        </w:tc>
        <w:tc>
          <w:tcPr>
            <w:tcW w:w="834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0-4分</w:t>
            </w:r>
          </w:p>
        </w:tc>
        <w:tc>
          <w:tcPr>
            <w:tcW w:w="713" w:type="dxa"/>
            <w:vAlign w:val="center"/>
          </w:tcPr>
          <w:p>
            <w:pPr>
              <w:spacing w:line="240" w:lineRule="exact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spacing w:line="240" w:lineRule="exact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spacing w:line="240" w:lineRule="exact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57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47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bookmarkStart w:id="0" w:name="RANGE!B9"/>
            <w:bookmarkEnd w:id="0"/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组织机构（12分）</w:t>
            </w:r>
          </w:p>
        </w:tc>
        <w:tc>
          <w:tcPr>
            <w:tcW w:w="8665" w:type="dxa"/>
            <w:vAlign w:val="center"/>
          </w:tcPr>
          <w:p>
            <w:pPr>
              <w:spacing w:line="240" w:lineRule="exact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1. 投入项目中的人员符合本项目需求的素质和能力要求。成立结构合理的项目组，且成员资质、能力、成功实施项目的经验，能够确保本项目高质量完成。优：4-6分   良：2-3分    差：0-1分</w:t>
            </w:r>
          </w:p>
        </w:tc>
        <w:tc>
          <w:tcPr>
            <w:tcW w:w="834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0-6分</w:t>
            </w:r>
          </w:p>
        </w:tc>
        <w:tc>
          <w:tcPr>
            <w:tcW w:w="713" w:type="dxa"/>
            <w:vAlign w:val="center"/>
          </w:tcPr>
          <w:p>
            <w:pPr>
              <w:spacing w:line="240" w:lineRule="exact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spacing w:line="240" w:lineRule="exact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spacing w:line="240" w:lineRule="exact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4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665" w:type="dxa"/>
            <w:vAlign w:val="center"/>
          </w:tcPr>
          <w:p>
            <w:pPr>
              <w:spacing w:line="240" w:lineRule="exact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2. 项目负责人：个人简历（包括受教育和工作经历）及与政府合作或参与大样本数据采集的项目经历，与普查有关的经历。优：4-6分   良：2-3分    差：0-1分</w:t>
            </w:r>
          </w:p>
        </w:tc>
        <w:tc>
          <w:tcPr>
            <w:tcW w:w="834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0-6分</w:t>
            </w:r>
          </w:p>
        </w:tc>
        <w:tc>
          <w:tcPr>
            <w:tcW w:w="713" w:type="dxa"/>
            <w:vAlign w:val="center"/>
          </w:tcPr>
          <w:p>
            <w:pPr>
              <w:spacing w:line="240" w:lineRule="exact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spacing w:line="240" w:lineRule="exact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spacing w:line="240" w:lineRule="exact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57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成果提交（6分）</w:t>
            </w:r>
          </w:p>
        </w:tc>
        <w:tc>
          <w:tcPr>
            <w:tcW w:w="8665" w:type="dxa"/>
            <w:vAlign w:val="center"/>
          </w:tcPr>
          <w:p>
            <w:pPr>
              <w:spacing w:line="240" w:lineRule="exact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提交包括过程文件和结果文件在内的全面的项目成果，确保本项目的工作留痕、可追溯，有助于政府决策分析。优：4-6分   良：2-3分    差：0-1分</w:t>
            </w:r>
          </w:p>
        </w:tc>
        <w:tc>
          <w:tcPr>
            <w:tcW w:w="834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0-6分</w:t>
            </w:r>
          </w:p>
        </w:tc>
        <w:tc>
          <w:tcPr>
            <w:tcW w:w="713" w:type="dxa"/>
            <w:vAlign w:val="center"/>
          </w:tcPr>
          <w:p>
            <w:pPr>
              <w:spacing w:line="240" w:lineRule="exact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spacing w:line="240" w:lineRule="exact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spacing w:line="240" w:lineRule="exact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579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033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商务部分</w:t>
            </w:r>
          </w:p>
          <w:p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（30分）</w:t>
            </w:r>
          </w:p>
        </w:tc>
        <w:tc>
          <w:tcPr>
            <w:tcW w:w="104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资信状况</w:t>
            </w:r>
          </w:p>
          <w:p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（5分）</w:t>
            </w:r>
          </w:p>
        </w:tc>
        <w:tc>
          <w:tcPr>
            <w:tcW w:w="8665" w:type="dxa"/>
            <w:vAlign w:val="center"/>
          </w:tcPr>
          <w:p>
            <w:pPr>
              <w:spacing w:line="240" w:lineRule="exact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根据报价人的经营及资信状况、以往履约情况及是否有不良记录或诉讼等综合实力打分。</w:t>
            </w:r>
          </w:p>
          <w:p>
            <w:pPr>
              <w:spacing w:line="240" w:lineRule="exact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优：4-5分   良：2-3分    差：0-1分</w:t>
            </w:r>
          </w:p>
        </w:tc>
        <w:tc>
          <w:tcPr>
            <w:tcW w:w="834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0-6分</w:t>
            </w:r>
          </w:p>
        </w:tc>
        <w:tc>
          <w:tcPr>
            <w:tcW w:w="713" w:type="dxa"/>
            <w:vAlign w:val="center"/>
          </w:tcPr>
          <w:p>
            <w:pPr>
              <w:spacing w:line="240" w:lineRule="exact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spacing w:line="240" w:lineRule="exact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spacing w:line="240" w:lineRule="exact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7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47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报价人资质情况（9分）</w:t>
            </w:r>
          </w:p>
        </w:tc>
        <w:tc>
          <w:tcPr>
            <w:tcW w:w="8665" w:type="dxa"/>
            <w:vAlign w:val="center"/>
          </w:tcPr>
          <w:p>
            <w:pPr>
              <w:spacing w:line="240" w:lineRule="exact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报价人具有以下证书的每个得3分，最高得9分。</w:t>
            </w:r>
          </w:p>
        </w:tc>
        <w:tc>
          <w:tcPr>
            <w:tcW w:w="834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0-9分</w:t>
            </w:r>
          </w:p>
        </w:tc>
        <w:tc>
          <w:tcPr>
            <w:tcW w:w="713" w:type="dxa"/>
            <w:vMerge w:val="restart"/>
            <w:vAlign w:val="center"/>
          </w:tcPr>
          <w:p>
            <w:pPr>
              <w:spacing w:line="240" w:lineRule="exact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713" w:type="dxa"/>
            <w:vMerge w:val="restart"/>
            <w:vAlign w:val="center"/>
          </w:tcPr>
          <w:p>
            <w:pPr>
              <w:spacing w:line="240" w:lineRule="exact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713" w:type="dxa"/>
            <w:vMerge w:val="restart"/>
            <w:vAlign w:val="center"/>
          </w:tcPr>
          <w:p>
            <w:pPr>
              <w:spacing w:line="240" w:lineRule="exact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57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4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665" w:type="dxa"/>
            <w:vAlign w:val="center"/>
          </w:tcPr>
          <w:p>
            <w:pPr>
              <w:spacing w:line="240" w:lineRule="exact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1.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具有ISO9001质量管理体系认证证书；</w:t>
            </w:r>
          </w:p>
        </w:tc>
        <w:tc>
          <w:tcPr>
            <w:tcW w:w="83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713" w:type="dxa"/>
            <w:vMerge w:val="continue"/>
            <w:vAlign w:val="center"/>
          </w:tcPr>
          <w:p>
            <w:pPr>
              <w:spacing w:line="240" w:lineRule="exact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713" w:type="dxa"/>
            <w:vMerge w:val="continue"/>
            <w:vAlign w:val="center"/>
          </w:tcPr>
          <w:p>
            <w:pPr>
              <w:spacing w:line="240" w:lineRule="exact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713" w:type="dxa"/>
            <w:vMerge w:val="continue"/>
            <w:vAlign w:val="center"/>
          </w:tcPr>
          <w:p>
            <w:pPr>
              <w:spacing w:line="240" w:lineRule="exact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  <w:jc w:val="center"/>
        </w:trPr>
        <w:tc>
          <w:tcPr>
            <w:tcW w:w="57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4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665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2.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具有ISO职业健康安全管理体系认证；</w:t>
            </w:r>
          </w:p>
        </w:tc>
        <w:tc>
          <w:tcPr>
            <w:tcW w:w="83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713" w:type="dxa"/>
            <w:vMerge w:val="continue"/>
            <w:vAlign w:val="center"/>
          </w:tcPr>
          <w:p>
            <w:pPr>
              <w:spacing w:line="240" w:lineRule="exact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713" w:type="dxa"/>
            <w:vMerge w:val="continue"/>
            <w:vAlign w:val="center"/>
          </w:tcPr>
          <w:p>
            <w:pPr>
              <w:spacing w:line="240" w:lineRule="exact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713" w:type="dxa"/>
            <w:vMerge w:val="continue"/>
            <w:vAlign w:val="center"/>
          </w:tcPr>
          <w:p>
            <w:pPr>
              <w:spacing w:line="240" w:lineRule="exact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" w:hRule="atLeast"/>
          <w:jc w:val="center"/>
        </w:trPr>
        <w:tc>
          <w:tcPr>
            <w:tcW w:w="57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4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665" w:type="dxa"/>
            <w:vAlign w:val="center"/>
          </w:tcPr>
          <w:p>
            <w:pPr>
              <w:spacing w:line="240" w:lineRule="exact"/>
              <w:rPr>
                <w:rFonts w:hint="eastAsia" w:ascii="宋体" w:hAnsi="宋体" w:eastAsiaTheme="minorEastAsia"/>
                <w:bCs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3.具有ISO环境管理体系认证</w:t>
            </w:r>
            <w:r>
              <w:rPr>
                <w:rFonts w:hint="eastAsia" w:ascii="宋体" w:hAnsi="宋体"/>
                <w:bCs/>
                <w:color w:val="000000"/>
                <w:sz w:val="18"/>
                <w:szCs w:val="18"/>
                <w:lang w:eastAsia="zh-CN"/>
              </w:rPr>
              <w:t>；</w:t>
            </w:r>
          </w:p>
        </w:tc>
        <w:tc>
          <w:tcPr>
            <w:tcW w:w="83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713" w:type="dxa"/>
            <w:vMerge w:val="continue"/>
            <w:vAlign w:val="center"/>
          </w:tcPr>
          <w:p>
            <w:pPr>
              <w:spacing w:line="240" w:lineRule="exact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713" w:type="dxa"/>
            <w:vMerge w:val="continue"/>
            <w:vAlign w:val="center"/>
          </w:tcPr>
          <w:p>
            <w:pPr>
              <w:spacing w:line="240" w:lineRule="exact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713" w:type="dxa"/>
            <w:vMerge w:val="continue"/>
            <w:vAlign w:val="center"/>
          </w:tcPr>
          <w:p>
            <w:pPr>
              <w:spacing w:line="240" w:lineRule="exact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  <w:jc w:val="center"/>
        </w:trPr>
        <w:tc>
          <w:tcPr>
            <w:tcW w:w="57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4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665" w:type="dxa"/>
            <w:vAlign w:val="center"/>
          </w:tcPr>
          <w:p>
            <w:pPr>
              <w:spacing w:line="240" w:lineRule="exact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以上须提供证书的复印件加盖公章。</w:t>
            </w:r>
          </w:p>
        </w:tc>
        <w:tc>
          <w:tcPr>
            <w:tcW w:w="83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713" w:type="dxa"/>
            <w:vMerge w:val="continue"/>
            <w:vAlign w:val="center"/>
          </w:tcPr>
          <w:p>
            <w:pPr>
              <w:spacing w:line="240" w:lineRule="exact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713" w:type="dxa"/>
            <w:vMerge w:val="continue"/>
            <w:vAlign w:val="center"/>
          </w:tcPr>
          <w:p>
            <w:pPr>
              <w:spacing w:line="240" w:lineRule="exact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713" w:type="dxa"/>
            <w:vMerge w:val="continue"/>
            <w:vAlign w:val="center"/>
          </w:tcPr>
          <w:p>
            <w:pPr>
              <w:spacing w:line="240" w:lineRule="exact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57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47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企业业绩及经验（16分）</w:t>
            </w:r>
          </w:p>
        </w:tc>
        <w:tc>
          <w:tcPr>
            <w:tcW w:w="8665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近三年内的同类项目案例（以合同签订日期为准）每个一般案例得2分，最多得10分。</w:t>
            </w:r>
          </w:p>
        </w:tc>
        <w:tc>
          <w:tcPr>
            <w:tcW w:w="834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0-16分</w:t>
            </w:r>
          </w:p>
        </w:tc>
        <w:tc>
          <w:tcPr>
            <w:tcW w:w="713" w:type="dxa"/>
            <w:vMerge w:val="restart"/>
            <w:vAlign w:val="center"/>
          </w:tcPr>
          <w:p>
            <w:pPr>
              <w:spacing w:line="240" w:lineRule="exact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713" w:type="dxa"/>
            <w:vMerge w:val="restart"/>
            <w:vAlign w:val="center"/>
          </w:tcPr>
          <w:p>
            <w:pPr>
              <w:spacing w:line="240" w:lineRule="exact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713" w:type="dxa"/>
            <w:vMerge w:val="restart"/>
            <w:vAlign w:val="center"/>
          </w:tcPr>
          <w:p>
            <w:pPr>
              <w:spacing w:line="240" w:lineRule="exact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  <w:jc w:val="center"/>
        </w:trPr>
        <w:tc>
          <w:tcPr>
            <w:tcW w:w="57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4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665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为省部级及以上单位提供服务的类似案例每个得2分，最多得6分。</w:t>
            </w:r>
          </w:p>
        </w:tc>
        <w:tc>
          <w:tcPr>
            <w:tcW w:w="83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713" w:type="dxa"/>
            <w:vMerge w:val="continue"/>
            <w:vAlign w:val="center"/>
          </w:tcPr>
          <w:p>
            <w:pPr>
              <w:spacing w:line="240" w:lineRule="exact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713" w:type="dxa"/>
            <w:vMerge w:val="continue"/>
            <w:vAlign w:val="center"/>
          </w:tcPr>
          <w:p>
            <w:pPr>
              <w:spacing w:line="240" w:lineRule="exact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713" w:type="dxa"/>
            <w:vMerge w:val="continue"/>
            <w:vAlign w:val="center"/>
          </w:tcPr>
          <w:p>
            <w:pPr>
              <w:spacing w:line="240" w:lineRule="exact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  <w:jc w:val="center"/>
        </w:trPr>
        <w:tc>
          <w:tcPr>
            <w:tcW w:w="57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4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665" w:type="dxa"/>
            <w:vAlign w:val="center"/>
          </w:tcPr>
          <w:p>
            <w:pPr>
              <w:spacing w:line="240" w:lineRule="exact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以上业绩证明均以报价人提供的有效合同复印件为准，要求必须提供合同首页、签字盖章页复印件作为证明。</w:t>
            </w:r>
          </w:p>
        </w:tc>
        <w:tc>
          <w:tcPr>
            <w:tcW w:w="83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713" w:type="dxa"/>
            <w:vMerge w:val="continue"/>
            <w:vAlign w:val="center"/>
          </w:tcPr>
          <w:p>
            <w:pPr>
              <w:spacing w:line="240" w:lineRule="exact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713" w:type="dxa"/>
            <w:vMerge w:val="continue"/>
            <w:vAlign w:val="center"/>
          </w:tcPr>
          <w:p>
            <w:pPr>
              <w:spacing w:line="240" w:lineRule="exact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713" w:type="dxa"/>
            <w:vMerge w:val="continue"/>
            <w:vAlign w:val="center"/>
          </w:tcPr>
          <w:p>
            <w:pPr>
              <w:spacing w:line="240" w:lineRule="exact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  <w:jc w:val="center"/>
        </w:trPr>
        <w:tc>
          <w:tcPr>
            <w:tcW w:w="57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03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价格部分（</w:t>
            </w:r>
            <w:r>
              <w:rPr>
                <w:rFonts w:hint="eastAsia" w:ascii="宋体" w:hAnsi="宋体"/>
                <w:bCs/>
                <w:color w:val="000000"/>
                <w:sz w:val="18"/>
                <w:szCs w:val="18"/>
                <w:lang w:val="zh-CN"/>
              </w:rPr>
              <w:t>10分）</w:t>
            </w:r>
          </w:p>
        </w:tc>
        <w:tc>
          <w:tcPr>
            <w:tcW w:w="104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价格（</w:t>
            </w:r>
            <w:r>
              <w:rPr>
                <w:rFonts w:hint="eastAsia" w:ascii="宋体" w:hAnsi="宋体"/>
                <w:bCs/>
                <w:color w:val="000000"/>
                <w:sz w:val="18"/>
                <w:szCs w:val="18"/>
                <w:lang w:val="zh-CN"/>
              </w:rPr>
              <w:t>10分）</w:t>
            </w:r>
          </w:p>
        </w:tc>
        <w:tc>
          <w:tcPr>
            <w:tcW w:w="8665" w:type="dxa"/>
            <w:vAlign w:val="center"/>
          </w:tcPr>
          <w:p>
            <w:pPr>
              <w:snapToGrid w:val="0"/>
              <w:spacing w:line="240" w:lineRule="exact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价格分采用低价优先法，即满足采购文件要求且价格最低的报价为基准价，其价格分为满分，其他服务商的价格分统一按下列公式计算：响应报价得分=（基准价/响应报价）×10</w:t>
            </w:r>
          </w:p>
        </w:tc>
        <w:tc>
          <w:tcPr>
            <w:tcW w:w="834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0-10分</w:t>
            </w:r>
          </w:p>
        </w:tc>
        <w:tc>
          <w:tcPr>
            <w:tcW w:w="713" w:type="dxa"/>
            <w:vAlign w:val="center"/>
          </w:tcPr>
          <w:p>
            <w:pPr>
              <w:spacing w:line="240" w:lineRule="exact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spacing w:line="240" w:lineRule="exact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>
            <w:pPr>
              <w:spacing w:line="240" w:lineRule="exact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  <w:jc w:val="center"/>
        </w:trPr>
        <w:tc>
          <w:tcPr>
            <w:tcW w:w="579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074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合计</w:t>
            </w:r>
          </w:p>
        </w:tc>
        <w:tc>
          <w:tcPr>
            <w:tcW w:w="834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100分</w:t>
            </w:r>
          </w:p>
        </w:tc>
        <w:tc>
          <w:tcPr>
            <w:tcW w:w="713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713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713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  <w:jc w:val="center"/>
        </w:trPr>
        <w:tc>
          <w:tcPr>
            <w:tcW w:w="14297" w:type="dxa"/>
            <w:gridSpan w:val="8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exact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评委签名：</w:t>
            </w:r>
          </w:p>
        </w:tc>
      </w:tr>
    </w:tbl>
    <w:p>
      <w:pPr>
        <w:rPr>
          <w:rFonts w:ascii="仿宋_GB2312" w:hAnsi="仿宋_GB2312" w:eastAsia="仿宋_GB2312" w:cs="仿宋_GB2312"/>
          <w:sz w:val="24"/>
          <w:szCs w:val="24"/>
        </w:rPr>
      </w:pPr>
    </w:p>
    <w:sectPr>
      <w:footerReference r:id="rId3" w:type="default"/>
      <w:pgSz w:w="16838" w:h="11906" w:orient="landscape"/>
      <w:pgMar w:top="651" w:right="1440" w:bottom="56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-515924693"/>
                          </w:sdtPr>
                          <w:sdtContent>
                            <w:p>
                              <w:pPr>
                                <w:pStyle w:val="6"/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lang w:val="zh-CN"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sdtContent>
                        </w:sdt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-515924693"/>
                    </w:sdtPr>
                    <w:sdtContent>
                      <w:p>
                        <w:pPr>
                          <w:pStyle w:val="6"/>
                          <w:jc w:val="center"/>
                        </w:pPr>
                        <w:r>
                          <w:fldChar w:fldCharType="begin"/>
                        </w:r>
                        <w:r>
                          <w:instrText xml:space="preserve">PAGE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lang w:val="zh-CN"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sdtContent>
                  </w:sdt>
                  <w:p/>
                </w:txbxContent>
              </v:textbox>
            </v:shape>
          </w:pict>
        </mc:Fallback>
      </mc:AlternateContent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B98"/>
    <w:rsid w:val="0000002F"/>
    <w:rsid w:val="00031CAC"/>
    <w:rsid w:val="00045AC1"/>
    <w:rsid w:val="000833A7"/>
    <w:rsid w:val="0009384B"/>
    <w:rsid w:val="000C5B27"/>
    <w:rsid w:val="000E0593"/>
    <w:rsid w:val="000E70E5"/>
    <w:rsid w:val="000F5E61"/>
    <w:rsid w:val="00125ACC"/>
    <w:rsid w:val="001327FE"/>
    <w:rsid w:val="00136678"/>
    <w:rsid w:val="0015451D"/>
    <w:rsid w:val="00191044"/>
    <w:rsid w:val="001A31A8"/>
    <w:rsid w:val="001A7728"/>
    <w:rsid w:val="001D50FE"/>
    <w:rsid w:val="001E11C0"/>
    <w:rsid w:val="001E13B6"/>
    <w:rsid w:val="00232F99"/>
    <w:rsid w:val="00240C43"/>
    <w:rsid w:val="002459BB"/>
    <w:rsid w:val="00254244"/>
    <w:rsid w:val="00287C13"/>
    <w:rsid w:val="00291ECF"/>
    <w:rsid w:val="002929F8"/>
    <w:rsid w:val="002A43E8"/>
    <w:rsid w:val="002D0CAC"/>
    <w:rsid w:val="002E56E3"/>
    <w:rsid w:val="003464D0"/>
    <w:rsid w:val="00361799"/>
    <w:rsid w:val="003B2381"/>
    <w:rsid w:val="003B3E2D"/>
    <w:rsid w:val="003D61A9"/>
    <w:rsid w:val="003E6AF0"/>
    <w:rsid w:val="003E76FA"/>
    <w:rsid w:val="004000DF"/>
    <w:rsid w:val="004C16AB"/>
    <w:rsid w:val="004C51AE"/>
    <w:rsid w:val="00503DAB"/>
    <w:rsid w:val="005739B4"/>
    <w:rsid w:val="005929DB"/>
    <w:rsid w:val="005F1E8C"/>
    <w:rsid w:val="005F37A1"/>
    <w:rsid w:val="00603B58"/>
    <w:rsid w:val="00611105"/>
    <w:rsid w:val="00673896"/>
    <w:rsid w:val="006777A9"/>
    <w:rsid w:val="006872EF"/>
    <w:rsid w:val="006B6CBA"/>
    <w:rsid w:val="006B7224"/>
    <w:rsid w:val="006D10C4"/>
    <w:rsid w:val="006D1E8D"/>
    <w:rsid w:val="00710A8F"/>
    <w:rsid w:val="00717C36"/>
    <w:rsid w:val="007337F1"/>
    <w:rsid w:val="00753B01"/>
    <w:rsid w:val="0075544E"/>
    <w:rsid w:val="007660F2"/>
    <w:rsid w:val="007967A3"/>
    <w:rsid w:val="007D058C"/>
    <w:rsid w:val="007E54FB"/>
    <w:rsid w:val="007E7541"/>
    <w:rsid w:val="007F74DE"/>
    <w:rsid w:val="00823216"/>
    <w:rsid w:val="00853621"/>
    <w:rsid w:val="008776E5"/>
    <w:rsid w:val="008810BC"/>
    <w:rsid w:val="00881ED0"/>
    <w:rsid w:val="008F15F2"/>
    <w:rsid w:val="00901916"/>
    <w:rsid w:val="009106B2"/>
    <w:rsid w:val="00920D32"/>
    <w:rsid w:val="0093406C"/>
    <w:rsid w:val="00936845"/>
    <w:rsid w:val="00941EB1"/>
    <w:rsid w:val="00985269"/>
    <w:rsid w:val="009976C4"/>
    <w:rsid w:val="009B108A"/>
    <w:rsid w:val="00A101BD"/>
    <w:rsid w:val="00A11E21"/>
    <w:rsid w:val="00A1206D"/>
    <w:rsid w:val="00A467DB"/>
    <w:rsid w:val="00A614BD"/>
    <w:rsid w:val="00AA0931"/>
    <w:rsid w:val="00AB5856"/>
    <w:rsid w:val="00AE66F3"/>
    <w:rsid w:val="00B1328E"/>
    <w:rsid w:val="00B1643C"/>
    <w:rsid w:val="00B23F6E"/>
    <w:rsid w:val="00BA04E8"/>
    <w:rsid w:val="00BA130C"/>
    <w:rsid w:val="00C10A0B"/>
    <w:rsid w:val="00C177AB"/>
    <w:rsid w:val="00C331F6"/>
    <w:rsid w:val="00C415E6"/>
    <w:rsid w:val="00C73EAD"/>
    <w:rsid w:val="00C75E8A"/>
    <w:rsid w:val="00C82B87"/>
    <w:rsid w:val="00CA371F"/>
    <w:rsid w:val="00CA48D2"/>
    <w:rsid w:val="00CE0A87"/>
    <w:rsid w:val="00CF1486"/>
    <w:rsid w:val="00D16002"/>
    <w:rsid w:val="00D30C9B"/>
    <w:rsid w:val="00DB5878"/>
    <w:rsid w:val="00E412F0"/>
    <w:rsid w:val="00E971A6"/>
    <w:rsid w:val="00EA0020"/>
    <w:rsid w:val="00EA7D3A"/>
    <w:rsid w:val="00EB22A2"/>
    <w:rsid w:val="00EB323E"/>
    <w:rsid w:val="00EC1C76"/>
    <w:rsid w:val="00EC4B98"/>
    <w:rsid w:val="00EE3770"/>
    <w:rsid w:val="00EF1E01"/>
    <w:rsid w:val="00F067A7"/>
    <w:rsid w:val="00F21E20"/>
    <w:rsid w:val="00F349F2"/>
    <w:rsid w:val="00F45090"/>
    <w:rsid w:val="00F50973"/>
    <w:rsid w:val="00FE2303"/>
    <w:rsid w:val="00FF62DB"/>
    <w:rsid w:val="019C661E"/>
    <w:rsid w:val="04BE2062"/>
    <w:rsid w:val="15DC24CD"/>
    <w:rsid w:val="21E61C1D"/>
    <w:rsid w:val="27F23EA5"/>
    <w:rsid w:val="28831262"/>
    <w:rsid w:val="2A827CDE"/>
    <w:rsid w:val="2D3134D3"/>
    <w:rsid w:val="37DA02EF"/>
    <w:rsid w:val="402C647D"/>
    <w:rsid w:val="48C93392"/>
    <w:rsid w:val="52141AA7"/>
    <w:rsid w:val="5C5107D0"/>
    <w:rsid w:val="603C144B"/>
    <w:rsid w:val="62C45D47"/>
    <w:rsid w:val="67F56A7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24"/>
      <w:szCs w:val="24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1"/>
    <w:semiHidden/>
    <w:unhideWhenUsed/>
    <w:qFormat/>
    <w:uiPriority w:val="99"/>
    <w:pPr>
      <w:jc w:val="left"/>
    </w:pPr>
  </w:style>
  <w:style w:type="paragraph" w:styleId="4">
    <w:name w:val="Date"/>
    <w:basedOn w:val="1"/>
    <w:next w:val="1"/>
    <w:link w:val="18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23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HTML Preformatted"/>
    <w:basedOn w:val="1"/>
    <w:link w:val="19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sz w:val="24"/>
    </w:rPr>
  </w:style>
  <w:style w:type="paragraph" w:styleId="9">
    <w:name w:val="annotation subject"/>
    <w:basedOn w:val="3"/>
    <w:next w:val="3"/>
    <w:link w:val="22"/>
    <w:semiHidden/>
    <w:unhideWhenUsed/>
    <w:qFormat/>
    <w:uiPriority w:val="99"/>
    <w:rPr>
      <w:b/>
      <w:bCs/>
    </w:rPr>
  </w:style>
  <w:style w:type="character" w:styleId="12">
    <w:name w:val="Hyperlink"/>
    <w:basedOn w:val="11"/>
    <w:semiHidden/>
    <w:unhideWhenUsed/>
    <w:qFormat/>
    <w:uiPriority w:val="99"/>
    <w:rPr>
      <w:color w:val="404040"/>
      <w:u w:val="none"/>
    </w:rPr>
  </w:style>
  <w:style w:type="character" w:styleId="13">
    <w:name w:val="annotation reference"/>
    <w:basedOn w:val="11"/>
    <w:semiHidden/>
    <w:unhideWhenUsed/>
    <w:qFormat/>
    <w:uiPriority w:val="99"/>
    <w:rPr>
      <w:sz w:val="21"/>
      <w:szCs w:val="21"/>
    </w:rPr>
  </w:style>
  <w:style w:type="character" w:customStyle="1" w:styleId="14">
    <w:name w:val="标题 1 字符"/>
    <w:basedOn w:val="11"/>
    <w:link w:val="2"/>
    <w:qFormat/>
    <w:uiPriority w:val="9"/>
    <w:rPr>
      <w:rFonts w:ascii="宋体" w:hAnsi="宋体" w:eastAsia="宋体" w:cs="宋体"/>
      <w:b/>
      <w:bCs/>
      <w:kern w:val="36"/>
      <w:sz w:val="24"/>
      <w:szCs w:val="24"/>
    </w:rPr>
  </w:style>
  <w:style w:type="character" w:customStyle="1" w:styleId="15">
    <w:name w:val="f-fr"/>
    <w:basedOn w:val="11"/>
    <w:qFormat/>
    <w:uiPriority w:val="0"/>
  </w:style>
  <w:style w:type="character" w:customStyle="1" w:styleId="16">
    <w:name w:val="页眉 字符"/>
    <w:basedOn w:val="11"/>
    <w:link w:val="7"/>
    <w:qFormat/>
    <w:uiPriority w:val="99"/>
    <w:rPr>
      <w:sz w:val="18"/>
      <w:szCs w:val="18"/>
    </w:rPr>
  </w:style>
  <w:style w:type="character" w:customStyle="1" w:styleId="17">
    <w:name w:val="页脚 字符"/>
    <w:basedOn w:val="11"/>
    <w:link w:val="6"/>
    <w:qFormat/>
    <w:uiPriority w:val="99"/>
    <w:rPr>
      <w:sz w:val="18"/>
      <w:szCs w:val="18"/>
    </w:rPr>
  </w:style>
  <w:style w:type="character" w:customStyle="1" w:styleId="18">
    <w:name w:val="日期 字符"/>
    <w:basedOn w:val="11"/>
    <w:link w:val="4"/>
    <w:semiHidden/>
    <w:qFormat/>
    <w:uiPriority w:val="99"/>
  </w:style>
  <w:style w:type="character" w:customStyle="1" w:styleId="19">
    <w:name w:val="HTML 预设格式 字符"/>
    <w:link w:val="8"/>
    <w:qFormat/>
    <w:uiPriority w:val="0"/>
    <w:rPr>
      <w:rFonts w:ascii="宋体" w:hAnsi="宋体"/>
      <w:sz w:val="24"/>
    </w:rPr>
  </w:style>
  <w:style w:type="character" w:customStyle="1" w:styleId="20">
    <w:name w:val="HTML 预设格式 Char1"/>
    <w:basedOn w:val="11"/>
    <w:semiHidden/>
    <w:qFormat/>
    <w:uiPriority w:val="99"/>
    <w:rPr>
      <w:rFonts w:ascii="Courier New" w:hAnsi="Courier New" w:cs="Courier New"/>
      <w:sz w:val="20"/>
      <w:szCs w:val="20"/>
    </w:rPr>
  </w:style>
  <w:style w:type="character" w:customStyle="1" w:styleId="21">
    <w:name w:val="批注文字 字符"/>
    <w:basedOn w:val="11"/>
    <w:link w:val="3"/>
    <w:semiHidden/>
    <w:qFormat/>
    <w:uiPriority w:val="99"/>
    <w:rPr>
      <w:kern w:val="2"/>
      <w:sz w:val="21"/>
      <w:szCs w:val="22"/>
    </w:rPr>
  </w:style>
  <w:style w:type="character" w:customStyle="1" w:styleId="22">
    <w:name w:val="批注主题 字符"/>
    <w:basedOn w:val="21"/>
    <w:link w:val="9"/>
    <w:semiHidden/>
    <w:qFormat/>
    <w:uiPriority w:val="99"/>
    <w:rPr>
      <w:b/>
      <w:bCs/>
      <w:kern w:val="2"/>
      <w:sz w:val="21"/>
      <w:szCs w:val="22"/>
    </w:rPr>
  </w:style>
  <w:style w:type="character" w:customStyle="1" w:styleId="23">
    <w:name w:val="批注框文本 字符"/>
    <w:basedOn w:val="11"/>
    <w:link w:val="5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488</Words>
  <Characters>2786</Characters>
  <Lines>23</Lines>
  <Paragraphs>6</Paragraphs>
  <TotalTime>14</TotalTime>
  <ScaleCrop>false</ScaleCrop>
  <LinksUpToDate>false</LinksUpToDate>
  <CharactersWithSpaces>3268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2019-08-29T08:21:00Z</dcterms:created>
  <dc:creator>王剑</dc:creator>
  <cp:lastModifiedBy>屈春晖</cp:lastModifiedBy>
  <cp:lastPrinted>2019-09-02T08:39:00Z</cp:lastPrinted>
  <dcterms:modified xsi:type="dcterms:W3CDTF">2019-09-06T03:40:13Z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