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p>
    <w:p>
      <w:pPr>
        <w:jc w:val="center"/>
        <w:rPr>
          <w:rFonts w:ascii="华文中宋" w:hAnsi="华文中宋" w:eastAsia="华文中宋" w:cs="宋体"/>
          <w:b/>
          <w:color w:val="000000"/>
          <w:kern w:val="0"/>
          <w:sz w:val="36"/>
          <w:szCs w:val="36"/>
        </w:rPr>
      </w:pPr>
      <w:bookmarkStart w:id="0" w:name="_GoBack"/>
      <w:r>
        <w:rPr>
          <w:rFonts w:hint="eastAsia" w:ascii="华文中宋" w:hAnsi="华文中宋" w:eastAsia="华文中宋" w:cs="宋体"/>
          <w:b/>
          <w:color w:val="000000"/>
          <w:kern w:val="0"/>
          <w:sz w:val="36"/>
          <w:szCs w:val="36"/>
        </w:rPr>
        <w:t>北京市残疾人信息无障碍交流平台服务外包项目评分表</w:t>
      </w:r>
    </w:p>
    <w:bookmarkEnd w:id="0"/>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w:t>
      </w:r>
      <w:r>
        <w:rPr>
          <w:rFonts w:hint="eastAsia" w:ascii="宋体-18030" w:hAnsi="宋体-18030" w:eastAsia="宋体-18030" w:cs="宋体-18030"/>
          <w:color w:val="000000"/>
          <w:kern w:val="0"/>
          <w:szCs w:val="21"/>
          <w:u w:val="single"/>
        </w:rPr>
        <w:t xml:space="preserve">                 </w:t>
      </w:r>
      <w:r>
        <w:rPr>
          <w:rFonts w:hint="eastAsia" w:ascii="宋体-18030" w:hAnsi="宋体-18030" w:eastAsia="宋体-18030" w:cs="宋体-18030"/>
          <w:color w:val="000000"/>
          <w:kern w:val="0"/>
          <w:szCs w:val="21"/>
        </w:rPr>
        <w:t xml:space="preserve">               日期：</w:t>
      </w:r>
      <w:r>
        <w:rPr>
          <w:rFonts w:hint="eastAsia" w:ascii="宋体-18030" w:hAnsi="宋体-18030" w:eastAsia="宋体-18030" w:cs="宋体-18030"/>
          <w:color w:val="000000"/>
          <w:kern w:val="0"/>
          <w:szCs w:val="21"/>
          <w:u w:val="single"/>
        </w:rPr>
        <w:t xml:space="preserve">                    </w:t>
      </w:r>
    </w:p>
    <w:tbl>
      <w:tblPr>
        <w:tblStyle w:val="9"/>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840"/>
        <w:gridCol w:w="767"/>
        <w:gridCol w:w="576"/>
        <w:gridCol w:w="5680"/>
        <w:gridCol w:w="705"/>
        <w:gridCol w:w="1011"/>
        <w:gridCol w:w="1011"/>
        <w:gridCol w:w="1011"/>
        <w:gridCol w:w="101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68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得分1</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得分2</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得分3</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得分4</w:t>
            </w:r>
          </w:p>
        </w:tc>
        <w:tc>
          <w:tcPr>
            <w:tcW w:w="1008" w:type="dxa"/>
            <w:vAlign w:val="center"/>
          </w:tcPr>
          <w:p>
            <w:pPr>
              <w:snapToGrid w:val="0"/>
              <w:spacing w:line="240" w:lineRule="exact"/>
              <w:jc w:val="center"/>
              <w:rPr>
                <w:rFonts w:ascii="宋体" w:hAnsi="宋体"/>
                <w:b/>
                <w:sz w:val="18"/>
              </w:rPr>
            </w:pPr>
            <w:r>
              <w:rPr>
                <w:rFonts w:hint="eastAsia" w:ascii="宋体" w:hAnsi="宋体"/>
                <w:b/>
                <w:sz w:val="18"/>
              </w:rPr>
              <w:t>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0" w:hRule="atLeast"/>
        </w:trPr>
        <w:tc>
          <w:tcPr>
            <w:tcW w:w="425"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商务部分（30分）</w:t>
            </w:r>
          </w:p>
        </w:tc>
        <w:tc>
          <w:tcPr>
            <w:tcW w:w="767" w:type="dxa"/>
            <w:shd w:val="clear" w:color="auto" w:fill="auto"/>
            <w:vAlign w:val="center"/>
          </w:tcPr>
          <w:p>
            <w:pPr>
              <w:snapToGrid w:val="0"/>
              <w:spacing w:line="240" w:lineRule="exact"/>
              <w:rPr>
                <w:rFonts w:ascii="宋体" w:hAnsi="宋体"/>
                <w:spacing w:val="-6"/>
                <w:sz w:val="18"/>
              </w:rPr>
            </w:pPr>
            <w:r>
              <w:rPr>
                <w:rFonts w:hint="eastAsia" w:ascii="宋体" w:hAnsi="宋体"/>
                <w:spacing w:val="-6"/>
                <w:sz w:val="18"/>
              </w:rPr>
              <w:t>类似业绩</w:t>
            </w:r>
          </w:p>
        </w:tc>
        <w:tc>
          <w:tcPr>
            <w:tcW w:w="576" w:type="dxa"/>
            <w:shd w:val="clear" w:color="auto" w:fill="auto"/>
            <w:vAlign w:val="center"/>
          </w:tcPr>
          <w:p>
            <w:pPr>
              <w:snapToGrid w:val="0"/>
              <w:spacing w:line="240" w:lineRule="exact"/>
              <w:jc w:val="center"/>
              <w:rPr>
                <w:rFonts w:ascii="宋体" w:hAnsi="宋体"/>
                <w:sz w:val="18"/>
              </w:rPr>
            </w:pPr>
            <w:r>
              <w:rPr>
                <w:rFonts w:hint="eastAsia" w:ascii="宋体" w:hAnsi="宋体"/>
                <w:sz w:val="18"/>
              </w:rPr>
              <w:t>10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响应人具有相同或类似项目呼叫中心运营管理的经验。（需提供相关证明材料，复印件并加盖响应人公章）。</w:t>
            </w:r>
          </w:p>
          <w:p>
            <w:pPr>
              <w:snapToGrid w:val="0"/>
              <w:spacing w:line="240" w:lineRule="exact"/>
              <w:rPr>
                <w:rFonts w:ascii="宋体" w:hAnsi="宋体"/>
                <w:sz w:val="18"/>
              </w:rPr>
            </w:pPr>
            <w:r>
              <w:rPr>
                <w:rFonts w:hint="eastAsia" w:ascii="宋体" w:hAnsi="宋体"/>
                <w:sz w:val="18"/>
              </w:rPr>
              <w:t>每提供一个业绩得2分，最高10分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10</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shd w:val="clear" w:color="auto" w:fill="auto"/>
            <w:vAlign w:val="center"/>
          </w:tcPr>
          <w:p>
            <w:pPr>
              <w:snapToGrid w:val="0"/>
              <w:spacing w:line="240" w:lineRule="exact"/>
              <w:rPr>
                <w:rFonts w:ascii="宋体" w:hAnsi="宋体"/>
                <w:spacing w:val="-6"/>
                <w:sz w:val="18"/>
              </w:rPr>
            </w:pPr>
            <w:r>
              <w:rPr>
                <w:rFonts w:hint="eastAsia" w:ascii="宋体" w:hAnsi="宋体"/>
                <w:spacing w:val="-6"/>
                <w:sz w:val="18"/>
              </w:rPr>
              <w:t>企业</w:t>
            </w:r>
            <w:r>
              <w:rPr>
                <w:rFonts w:ascii="宋体" w:hAnsi="宋体"/>
                <w:spacing w:val="-6"/>
                <w:sz w:val="18"/>
              </w:rPr>
              <w:t>实力</w:t>
            </w:r>
          </w:p>
        </w:tc>
        <w:tc>
          <w:tcPr>
            <w:tcW w:w="576" w:type="dxa"/>
            <w:shd w:val="clear" w:color="auto" w:fill="auto"/>
            <w:vAlign w:val="center"/>
          </w:tcPr>
          <w:p>
            <w:pPr>
              <w:snapToGrid w:val="0"/>
              <w:spacing w:line="240" w:lineRule="exact"/>
              <w:jc w:val="center"/>
              <w:rPr>
                <w:rFonts w:ascii="宋体" w:hAnsi="宋体"/>
                <w:sz w:val="18"/>
              </w:rPr>
            </w:pPr>
            <w:r>
              <w:rPr>
                <w:rFonts w:hint="eastAsia" w:ascii="宋体" w:hAnsi="宋体"/>
                <w:sz w:val="18"/>
              </w:rPr>
              <w:t>1</w:t>
            </w:r>
            <w:r>
              <w:rPr>
                <w:rFonts w:ascii="宋体" w:hAnsi="宋体"/>
                <w:sz w:val="18"/>
              </w:rPr>
              <w:t>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响应人的综合实力，包括财务状况、企业信誉、技术状况、履约能力等。</w:t>
            </w:r>
          </w:p>
          <w:p>
            <w:pPr>
              <w:snapToGrid w:val="0"/>
              <w:spacing w:line="240" w:lineRule="exact"/>
              <w:rPr>
                <w:rFonts w:ascii="宋体" w:hAnsi="宋体"/>
                <w:sz w:val="18"/>
              </w:rPr>
            </w:pPr>
            <w:r>
              <w:rPr>
                <w:rFonts w:hint="eastAsia" w:ascii="宋体" w:hAnsi="宋体"/>
                <w:sz w:val="18"/>
              </w:rPr>
              <w:t>提供上一年度审计报告得</w:t>
            </w:r>
            <w:r>
              <w:rPr>
                <w:rFonts w:ascii="宋体" w:hAnsi="宋体"/>
                <w:sz w:val="18"/>
              </w:rPr>
              <w:t>4</w:t>
            </w:r>
            <w:r>
              <w:rPr>
                <w:rFonts w:hint="eastAsia" w:ascii="宋体" w:hAnsi="宋体"/>
                <w:sz w:val="18"/>
              </w:rPr>
              <w:t>分；提供信用中国和中国政府采购网信用记录得</w:t>
            </w:r>
            <w:r>
              <w:rPr>
                <w:rFonts w:ascii="宋体" w:hAnsi="宋体"/>
                <w:sz w:val="18"/>
              </w:rPr>
              <w:t>3</w:t>
            </w:r>
            <w:r>
              <w:rPr>
                <w:rFonts w:hint="eastAsia" w:ascii="宋体" w:hAnsi="宋体"/>
                <w:sz w:val="18"/>
              </w:rPr>
              <w:t>分；提供近三年内获得的荣誉、证书，每个得1分，总分</w:t>
            </w:r>
            <w:r>
              <w:rPr>
                <w:rFonts w:ascii="宋体" w:hAnsi="宋体"/>
                <w:sz w:val="18"/>
              </w:rPr>
              <w:t>3</w:t>
            </w:r>
            <w:r>
              <w:rPr>
                <w:rFonts w:hint="eastAsia" w:ascii="宋体" w:hAnsi="宋体"/>
                <w:sz w:val="18"/>
              </w:rPr>
              <w:t>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10</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0"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rPr>
                <w:rFonts w:ascii="宋体" w:hAnsi="宋体"/>
                <w:sz w:val="18"/>
              </w:rPr>
            </w:pPr>
            <w:r>
              <w:rPr>
                <w:rFonts w:hint="eastAsia" w:ascii="宋体" w:hAnsi="宋体"/>
                <w:sz w:val="18"/>
              </w:rPr>
              <w:t>资质</w:t>
            </w:r>
          </w:p>
        </w:tc>
        <w:tc>
          <w:tcPr>
            <w:tcW w:w="576" w:type="dxa"/>
            <w:shd w:val="clear" w:color="auto" w:fill="auto"/>
            <w:vAlign w:val="center"/>
          </w:tcPr>
          <w:p>
            <w:pPr>
              <w:snapToGrid w:val="0"/>
              <w:spacing w:line="240" w:lineRule="exact"/>
              <w:jc w:val="center"/>
              <w:rPr>
                <w:rFonts w:ascii="宋体" w:hAnsi="宋体"/>
                <w:sz w:val="18"/>
              </w:rPr>
            </w:pPr>
            <w:r>
              <w:rPr>
                <w:rFonts w:hint="eastAsia" w:ascii="宋体" w:hAnsi="宋体"/>
                <w:sz w:val="18"/>
              </w:rPr>
              <w:t>10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满分为10分，按以下分项计算累加：</w:t>
            </w:r>
          </w:p>
          <w:p>
            <w:pPr>
              <w:snapToGrid w:val="0"/>
              <w:spacing w:line="240" w:lineRule="exact"/>
              <w:rPr>
                <w:rFonts w:ascii="宋体" w:hAnsi="宋体"/>
                <w:sz w:val="18"/>
              </w:rPr>
            </w:pPr>
            <w:r>
              <w:rPr>
                <w:rFonts w:hint="eastAsia" w:ascii="宋体" w:hAnsi="宋体"/>
                <w:sz w:val="18"/>
              </w:rPr>
              <w:t>提供高新技术企业证书得2分；</w:t>
            </w:r>
          </w:p>
          <w:p>
            <w:pPr>
              <w:snapToGrid w:val="0"/>
              <w:spacing w:line="240" w:lineRule="exact"/>
              <w:rPr>
                <w:rFonts w:ascii="宋体" w:hAnsi="宋体"/>
                <w:sz w:val="18"/>
              </w:rPr>
            </w:pPr>
            <w:r>
              <w:rPr>
                <w:rFonts w:hint="eastAsia" w:ascii="宋体" w:hAnsi="宋体"/>
                <w:sz w:val="18"/>
              </w:rPr>
              <w:t>提供信息安全管理体系ISO/IEC27001:2013质量体系认证证书得2分；</w:t>
            </w:r>
          </w:p>
          <w:p>
            <w:pPr>
              <w:snapToGrid w:val="0"/>
              <w:spacing w:line="240" w:lineRule="exact"/>
              <w:rPr>
                <w:rFonts w:ascii="宋体" w:hAnsi="宋体"/>
                <w:sz w:val="18"/>
              </w:rPr>
            </w:pPr>
            <w:r>
              <w:rPr>
                <w:rFonts w:hint="eastAsia" w:ascii="宋体" w:hAnsi="宋体"/>
                <w:sz w:val="18"/>
              </w:rPr>
              <w:t>提供ITSS信息技术服务运行维护标准符合性证书得2分；</w:t>
            </w:r>
          </w:p>
          <w:p>
            <w:pPr>
              <w:snapToGrid w:val="0"/>
              <w:spacing w:line="240" w:lineRule="exact"/>
              <w:rPr>
                <w:rFonts w:ascii="宋体" w:hAnsi="宋体"/>
                <w:sz w:val="18"/>
              </w:rPr>
            </w:pPr>
            <w:r>
              <w:rPr>
                <w:rFonts w:hint="eastAsia" w:ascii="宋体" w:hAnsi="宋体"/>
                <w:sz w:val="18"/>
              </w:rPr>
              <w:t>提供IT服务管理体系认证证书ISO/IEC20000认证证书得2分。</w:t>
            </w:r>
          </w:p>
          <w:p>
            <w:pPr>
              <w:snapToGrid w:val="0"/>
              <w:spacing w:line="240" w:lineRule="exact"/>
              <w:rPr>
                <w:rFonts w:ascii="宋体" w:hAnsi="宋体"/>
                <w:sz w:val="18"/>
              </w:rPr>
            </w:pPr>
            <w:r>
              <w:rPr>
                <w:rFonts w:hint="eastAsia" w:ascii="宋体" w:hAnsi="宋体"/>
                <w:sz w:val="18"/>
              </w:rPr>
              <w:t>提供电信业务增值许可证得2分；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10</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6" w:hRule="atLeast"/>
        </w:trPr>
        <w:tc>
          <w:tcPr>
            <w:tcW w:w="425"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技术部分（60分）</w:t>
            </w:r>
          </w:p>
        </w:tc>
        <w:tc>
          <w:tcPr>
            <w:tcW w:w="767" w:type="dxa"/>
            <w:shd w:val="clear" w:color="auto" w:fill="auto"/>
            <w:vAlign w:val="center"/>
          </w:tcPr>
          <w:p>
            <w:pPr>
              <w:spacing w:line="240" w:lineRule="exact"/>
              <w:rPr>
                <w:rFonts w:ascii="宋体" w:hAnsi="宋体"/>
                <w:sz w:val="18"/>
              </w:rPr>
            </w:pPr>
            <w:r>
              <w:rPr>
                <w:rFonts w:hint="eastAsia" w:ascii="宋体" w:hAnsi="宋体"/>
                <w:sz w:val="18"/>
              </w:rPr>
              <w:t>服务方案</w:t>
            </w:r>
          </w:p>
        </w:tc>
        <w:tc>
          <w:tcPr>
            <w:tcW w:w="576" w:type="dxa"/>
            <w:shd w:val="clear" w:color="auto" w:fill="auto"/>
            <w:vAlign w:val="center"/>
          </w:tcPr>
          <w:p>
            <w:pPr>
              <w:snapToGrid w:val="0"/>
              <w:spacing w:line="240" w:lineRule="exact"/>
              <w:jc w:val="center"/>
              <w:rPr>
                <w:rFonts w:ascii="宋体" w:hAnsi="宋体"/>
                <w:sz w:val="18"/>
              </w:rPr>
            </w:pPr>
            <w:r>
              <w:rPr>
                <w:rFonts w:ascii="宋体" w:hAnsi="宋体"/>
                <w:sz w:val="18"/>
              </w:rPr>
              <w:t>20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依据投标文件对原有业务的熟悉程度，综合判定响应人服务方案的科学性、合理性和可操作性。</w:t>
            </w:r>
          </w:p>
          <w:p>
            <w:pPr>
              <w:snapToGrid w:val="0"/>
              <w:spacing w:line="240" w:lineRule="exact"/>
              <w:rPr>
                <w:rFonts w:ascii="宋体" w:hAnsi="宋体"/>
                <w:sz w:val="18"/>
              </w:rPr>
            </w:pPr>
            <w:r>
              <w:rPr>
                <w:rFonts w:hint="eastAsia" w:ascii="宋体" w:hAnsi="宋体"/>
                <w:sz w:val="18"/>
              </w:rPr>
              <w:t>优秀，得14-20分；较好，得8-13分；一般，得0-7分。</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w:t>
            </w:r>
            <w:r>
              <w:rPr>
                <w:rFonts w:ascii="宋体" w:hAnsi="宋体"/>
                <w:sz w:val="18"/>
              </w:rPr>
              <w:t>-20</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0"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napToGrid w:val="0"/>
              <w:spacing w:line="240" w:lineRule="exact"/>
              <w:rPr>
                <w:rFonts w:ascii="宋体" w:hAnsi="宋体"/>
                <w:sz w:val="18"/>
              </w:rPr>
            </w:pPr>
            <w:r>
              <w:rPr>
                <w:rFonts w:hint="eastAsia" w:ascii="宋体" w:hAnsi="宋体"/>
                <w:sz w:val="18"/>
              </w:rPr>
              <w:t>运营</w:t>
            </w:r>
            <w:r>
              <w:rPr>
                <w:rFonts w:ascii="宋体" w:hAnsi="宋体"/>
                <w:sz w:val="18"/>
              </w:rPr>
              <w:t>管理能力</w:t>
            </w:r>
          </w:p>
        </w:tc>
        <w:tc>
          <w:tcPr>
            <w:tcW w:w="576" w:type="dxa"/>
            <w:shd w:val="clear" w:color="auto" w:fill="auto"/>
            <w:vAlign w:val="center"/>
          </w:tcPr>
          <w:p>
            <w:pPr>
              <w:snapToGrid w:val="0"/>
              <w:spacing w:line="240" w:lineRule="exact"/>
              <w:jc w:val="center"/>
              <w:rPr>
                <w:rFonts w:ascii="宋体" w:hAnsi="宋体"/>
                <w:sz w:val="18"/>
              </w:rPr>
            </w:pPr>
            <w:r>
              <w:rPr>
                <w:rFonts w:ascii="宋体" w:hAnsi="宋体"/>
                <w:sz w:val="18"/>
              </w:rPr>
              <w:t>20</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依据投标文件中的运营管理方案，综合判定响应人运营管理能力，服务投诉解决处理能力。</w:t>
            </w:r>
          </w:p>
          <w:p>
            <w:pPr>
              <w:spacing w:line="240" w:lineRule="exact"/>
              <w:rPr>
                <w:rFonts w:ascii="宋体" w:hAnsi="宋体" w:cs="宋体"/>
                <w:kern w:val="0"/>
                <w:sz w:val="18"/>
              </w:rPr>
            </w:pPr>
            <w:r>
              <w:rPr>
                <w:rFonts w:hint="eastAsia" w:ascii="宋体" w:hAnsi="宋体" w:cs="宋体"/>
                <w:kern w:val="0"/>
                <w:sz w:val="18"/>
              </w:rPr>
              <w:t>优秀，得14-20分；较好，得8-13分；一般，得0-7分。</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-20</w:t>
            </w: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08"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60"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rPr>
                <w:rFonts w:ascii="宋体" w:hAnsi="宋体"/>
                <w:sz w:val="18"/>
              </w:rPr>
            </w:pPr>
            <w:r>
              <w:rPr>
                <w:rFonts w:hint="eastAsia" w:ascii="宋体" w:hAnsi="宋体"/>
                <w:sz w:val="18"/>
              </w:rPr>
              <w:t>服务保障</w:t>
            </w:r>
            <w:r>
              <w:rPr>
                <w:rFonts w:ascii="宋体" w:hAnsi="宋体"/>
                <w:sz w:val="18"/>
              </w:rPr>
              <w:t>能力</w:t>
            </w:r>
          </w:p>
        </w:tc>
        <w:tc>
          <w:tcPr>
            <w:tcW w:w="576"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2</w:t>
            </w:r>
            <w:r>
              <w:rPr>
                <w:rFonts w:ascii="宋体" w:hAnsi="宋体" w:cs="宋体"/>
                <w:kern w:val="0"/>
                <w:sz w:val="18"/>
              </w:rPr>
              <w:t>0</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响应人具有呼叫中心运营场地（需提供相关证明材料），并根据运营场地与采购人工作地的距离远近及交通便利度进行综合评判。</w:t>
            </w:r>
          </w:p>
          <w:p>
            <w:pPr>
              <w:spacing w:line="240" w:lineRule="exact"/>
              <w:rPr>
                <w:rFonts w:ascii="宋体" w:hAnsi="宋体" w:cs="宋体"/>
                <w:kern w:val="0"/>
                <w:sz w:val="18"/>
              </w:rPr>
            </w:pPr>
            <w:r>
              <w:rPr>
                <w:rFonts w:hint="eastAsia" w:ascii="宋体" w:hAnsi="宋体" w:cs="宋体"/>
                <w:kern w:val="0"/>
                <w:sz w:val="18"/>
              </w:rPr>
              <w:t>优秀，得4-5分；较好，得2-3分；一般，得0-1分。</w:t>
            </w:r>
          </w:p>
          <w:p>
            <w:pPr>
              <w:spacing w:line="240" w:lineRule="exact"/>
              <w:rPr>
                <w:rFonts w:ascii="宋体" w:hAnsi="宋体" w:cs="宋体"/>
                <w:kern w:val="0"/>
                <w:sz w:val="18"/>
              </w:rPr>
            </w:pPr>
            <w:r>
              <w:rPr>
                <w:rFonts w:hint="eastAsia" w:ascii="宋体" w:hAnsi="宋体" w:cs="宋体"/>
                <w:kern w:val="0"/>
                <w:sz w:val="18"/>
              </w:rPr>
              <w:t>根据响应人现阶段拥有的人工坐席数量进行评判。（须提供证明材料并加盖响应人公章）</w:t>
            </w:r>
          </w:p>
          <w:p>
            <w:pPr>
              <w:spacing w:line="240" w:lineRule="exact"/>
              <w:rPr>
                <w:rFonts w:ascii="宋体" w:hAnsi="宋体" w:cs="宋体"/>
                <w:kern w:val="0"/>
                <w:sz w:val="18"/>
              </w:rPr>
            </w:pPr>
            <w:r>
              <w:rPr>
                <w:rFonts w:hint="eastAsia" w:ascii="宋体" w:hAnsi="宋体" w:cs="宋体"/>
                <w:kern w:val="0"/>
                <w:sz w:val="18"/>
              </w:rPr>
              <w:t>具备100个及以上席位得15分；</w:t>
            </w:r>
          </w:p>
          <w:p>
            <w:pPr>
              <w:spacing w:line="240" w:lineRule="exact"/>
              <w:rPr>
                <w:rFonts w:ascii="宋体" w:hAnsi="宋体" w:cs="宋体"/>
                <w:kern w:val="0"/>
                <w:sz w:val="18"/>
              </w:rPr>
            </w:pPr>
            <w:r>
              <w:rPr>
                <w:rFonts w:hint="eastAsia" w:ascii="宋体" w:hAnsi="宋体" w:cs="宋体"/>
                <w:kern w:val="0"/>
                <w:sz w:val="18"/>
              </w:rPr>
              <w:t>具备50-99个席位得10分；</w:t>
            </w:r>
          </w:p>
          <w:p>
            <w:pPr>
              <w:spacing w:line="240" w:lineRule="exact"/>
              <w:rPr>
                <w:rFonts w:ascii="宋体" w:hAnsi="宋体" w:cs="宋体"/>
                <w:kern w:val="0"/>
                <w:sz w:val="18"/>
              </w:rPr>
            </w:pPr>
            <w:r>
              <w:rPr>
                <w:rFonts w:hint="eastAsia" w:ascii="宋体" w:hAnsi="宋体" w:cs="宋体"/>
                <w:kern w:val="0"/>
                <w:sz w:val="18"/>
              </w:rPr>
              <w:t>具备50个以下席位得5分；</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-20</w:t>
            </w: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08"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报价部分（10分）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08"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tc>
          <w:tcPr>
            <w:tcW w:w="425"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08" w:type="dxa"/>
            <w:vAlign w:val="center"/>
          </w:tcPr>
          <w:p>
            <w:pPr>
              <w:spacing w:line="240" w:lineRule="exact"/>
              <w:jc w:val="center"/>
              <w:rPr>
                <w:rFonts w:ascii="宋体" w:hAnsi="宋体" w:cs="宋体"/>
                <w:b/>
                <w:kern w:val="0"/>
                <w:sz w:val="18"/>
              </w:rPr>
            </w:pPr>
          </w:p>
        </w:tc>
      </w:tr>
    </w:tbl>
    <w:p>
      <w:pPr>
        <w:rPr>
          <w:rFonts w:ascii="宋体-18030" w:hAnsi="宋体-18030" w:eastAsia="宋体-18030" w:cs="宋体-18030"/>
          <w:color w:val="000000"/>
          <w:kern w:val="0"/>
          <w:szCs w:val="21"/>
        </w:rPr>
        <w:sectPr>
          <w:footerReference r:id="rId3" w:type="default"/>
          <w:pgSz w:w="16838" w:h="11906" w:orient="landscape"/>
          <w:pgMar w:top="568" w:right="1440" w:bottom="993" w:left="1440" w:header="851" w:footer="283" w:gutter="0"/>
          <w:cols w:space="425" w:num="1"/>
          <w:docGrid w:type="lines" w:linePitch="312" w:charSpace="0"/>
        </w:sectPr>
      </w:pPr>
      <w:r>
        <w:rPr>
          <w:rFonts w:hint="eastAsia" w:ascii="宋体-18030" w:hAnsi="宋体-18030" w:eastAsia="宋体-18030" w:cs="宋体-18030"/>
          <w:color w:val="000000"/>
          <w:kern w:val="0"/>
          <w:szCs w:val="21"/>
        </w:rPr>
        <w:t>评委签名：</w:t>
      </w:r>
    </w:p>
    <w:p>
      <w:pPr>
        <w:adjustRightInd w:val="0"/>
        <w:snapToGrid w:val="0"/>
        <w:spacing w:before="156" w:beforeLines="50" w:line="360" w:lineRule="auto"/>
        <w:jc w:val="center"/>
        <w:rPr>
          <w:rFonts w:ascii="华文中宋" w:hAnsi="华文中宋" w:eastAsia="华文中宋"/>
          <w:b/>
          <w:sz w:val="36"/>
          <w:szCs w:val="44"/>
        </w:rPr>
      </w:pPr>
      <w:r>
        <w:rPr>
          <w:rFonts w:hint="eastAsia" w:ascii="华文中宋" w:hAnsi="华文中宋" w:eastAsia="华文中宋"/>
          <w:b/>
          <w:sz w:val="36"/>
          <w:szCs w:val="44"/>
        </w:rPr>
        <w:t>价格分计算表</w:t>
      </w:r>
    </w:p>
    <w:p>
      <w:pPr>
        <w:adjustRightInd w:val="0"/>
        <w:snapToGrid w:val="0"/>
        <w:spacing w:before="156" w:beforeLines="50" w:line="360" w:lineRule="auto"/>
        <w:ind w:firstLine="422" w:firstLineChars="200"/>
        <w:rPr>
          <w:rFonts w:asciiTheme="minorEastAsia" w:hAnsiTheme="minorEastAsia"/>
        </w:rPr>
      </w:pPr>
      <w:r>
        <w:rPr>
          <w:rFonts w:hint="eastAsia" w:asciiTheme="minorEastAsia" w:hAnsiTheme="minorEastAsia"/>
          <w:b/>
        </w:rPr>
        <w:t>项目名称：北京市残疾人信息无障碍交流平台服务外包项目</w:t>
      </w:r>
    </w:p>
    <w:p>
      <w:pPr>
        <w:adjustRightInd w:val="0"/>
        <w:snapToGrid w:val="0"/>
        <w:spacing w:before="156" w:beforeLines="50" w:line="360" w:lineRule="auto"/>
        <w:ind w:firstLine="422" w:firstLineChars="200"/>
        <w:rPr>
          <w:rFonts w:asciiTheme="minorEastAsia" w:hAnsiTheme="minorEastAsia"/>
        </w:rPr>
      </w:pPr>
      <w:r>
        <w:rPr>
          <w:rFonts w:hint="eastAsia" w:asciiTheme="minorEastAsia" w:hAnsiTheme="minorEastAsia"/>
          <w:b/>
        </w:rPr>
        <w:t>开标时间：</w:t>
      </w:r>
      <w:r>
        <w:rPr>
          <w:rFonts w:hint="eastAsia" w:asciiTheme="minorEastAsia" w:hAnsiTheme="minorEastAsia"/>
        </w:rPr>
        <w:t>2018年   月    日</w:t>
      </w:r>
    </w:p>
    <w:tbl>
      <w:tblPr>
        <w:tblStyle w:val="9"/>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69"/>
        <w:gridCol w:w="1416"/>
        <w:gridCol w:w="1418"/>
        <w:gridCol w:w="1559"/>
        <w:gridCol w:w="1559"/>
        <w:gridCol w:w="1418"/>
        <w:gridCol w:w="1418"/>
        <w:gridCol w:w="99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adjustRightInd w:val="0"/>
              <w:snapToGrid w:val="0"/>
              <w:spacing w:before="156" w:beforeLines="50" w:line="360" w:lineRule="auto"/>
              <w:jc w:val="center"/>
              <w:rPr>
                <w:rFonts w:asciiTheme="minorEastAsia" w:hAnsiTheme="minorEastAsia"/>
                <w:b/>
                <w:sz w:val="28"/>
                <w:szCs w:val="28"/>
              </w:rPr>
            </w:pPr>
            <w:r>
              <w:rPr>
                <w:rFonts w:hint="eastAsia" w:asciiTheme="minorEastAsia" w:hAnsiTheme="minorEastAsia"/>
                <w:b/>
                <w:sz w:val="28"/>
                <w:szCs w:val="28"/>
              </w:rPr>
              <w:t>序号</w:t>
            </w:r>
          </w:p>
        </w:tc>
        <w:tc>
          <w:tcPr>
            <w:tcW w:w="2269" w:type="dxa"/>
            <w:vMerge w:val="restart"/>
            <w:vAlign w:val="center"/>
          </w:tcPr>
          <w:p>
            <w:pPr>
              <w:adjustRightInd w:val="0"/>
              <w:snapToGrid w:val="0"/>
              <w:spacing w:before="156" w:beforeLines="50" w:line="360" w:lineRule="auto"/>
              <w:jc w:val="center"/>
              <w:rPr>
                <w:rFonts w:asciiTheme="minorEastAsia" w:hAnsiTheme="minorEastAsia"/>
                <w:b/>
                <w:sz w:val="28"/>
                <w:szCs w:val="28"/>
              </w:rPr>
            </w:pPr>
            <w:r>
              <w:rPr>
                <w:rFonts w:hint="eastAsia" w:asciiTheme="minorEastAsia" w:hAnsiTheme="minorEastAsia"/>
                <w:b/>
                <w:sz w:val="28"/>
                <w:szCs w:val="28"/>
              </w:rPr>
              <w:t>公司名称</w:t>
            </w:r>
          </w:p>
        </w:tc>
        <w:tc>
          <w:tcPr>
            <w:tcW w:w="8788" w:type="dxa"/>
            <w:gridSpan w:val="6"/>
            <w:vAlign w:val="center"/>
          </w:tcPr>
          <w:p>
            <w:pPr>
              <w:adjustRightInd w:val="0"/>
              <w:snapToGrid w:val="0"/>
              <w:spacing w:before="156" w:beforeLines="50" w:line="360" w:lineRule="auto"/>
              <w:jc w:val="center"/>
              <w:rPr>
                <w:rFonts w:asciiTheme="minorEastAsia" w:hAnsiTheme="minorEastAsia"/>
                <w:b/>
                <w:sz w:val="28"/>
                <w:szCs w:val="28"/>
              </w:rPr>
            </w:pPr>
            <w:r>
              <w:rPr>
                <w:rFonts w:hint="eastAsia" w:asciiTheme="minorEastAsia" w:hAnsiTheme="minorEastAsia"/>
                <w:b/>
                <w:sz w:val="28"/>
                <w:szCs w:val="28"/>
              </w:rPr>
              <w:t>评分人</w:t>
            </w:r>
          </w:p>
        </w:tc>
        <w:tc>
          <w:tcPr>
            <w:tcW w:w="991" w:type="dxa"/>
            <w:vMerge w:val="restart"/>
            <w:vAlign w:val="center"/>
          </w:tcPr>
          <w:p>
            <w:pPr>
              <w:adjustRightInd w:val="0"/>
              <w:snapToGrid w:val="0"/>
              <w:spacing w:before="156" w:beforeLines="50" w:line="360" w:lineRule="auto"/>
              <w:jc w:val="center"/>
              <w:rPr>
                <w:rFonts w:asciiTheme="minorEastAsia" w:hAnsiTheme="minorEastAsia"/>
                <w:b/>
                <w:sz w:val="28"/>
                <w:szCs w:val="28"/>
              </w:rPr>
            </w:pPr>
            <w:r>
              <w:rPr>
                <w:rFonts w:hint="eastAsia" w:asciiTheme="minorEastAsia" w:hAnsiTheme="minorEastAsia"/>
                <w:b/>
                <w:sz w:val="28"/>
                <w:szCs w:val="28"/>
              </w:rPr>
              <w:t>平均分</w:t>
            </w:r>
          </w:p>
        </w:tc>
        <w:tc>
          <w:tcPr>
            <w:tcW w:w="878" w:type="dxa"/>
            <w:vMerge w:val="restart"/>
            <w:vAlign w:val="center"/>
          </w:tcPr>
          <w:p>
            <w:pPr>
              <w:adjustRightInd w:val="0"/>
              <w:snapToGrid w:val="0"/>
              <w:spacing w:before="156" w:beforeLines="50" w:line="360" w:lineRule="auto"/>
              <w:jc w:val="center"/>
              <w:rPr>
                <w:rFonts w:asciiTheme="minorEastAsia" w:hAnsiTheme="minorEastAsia"/>
                <w:b/>
                <w:sz w:val="28"/>
                <w:szCs w:val="28"/>
              </w:rPr>
            </w:pPr>
            <w:r>
              <w:rPr>
                <w:rFonts w:hint="eastAsia" w:asciiTheme="minorEastAsia"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adjustRightInd w:val="0"/>
              <w:snapToGrid w:val="0"/>
              <w:spacing w:before="156" w:beforeLines="50" w:line="360" w:lineRule="auto"/>
              <w:jc w:val="center"/>
              <w:rPr>
                <w:rFonts w:asciiTheme="minorEastAsia" w:hAnsiTheme="minorEastAsia"/>
                <w:b/>
                <w:sz w:val="28"/>
                <w:szCs w:val="28"/>
              </w:rPr>
            </w:pPr>
          </w:p>
        </w:tc>
        <w:tc>
          <w:tcPr>
            <w:tcW w:w="2269" w:type="dxa"/>
            <w:vMerge w:val="continue"/>
            <w:vAlign w:val="center"/>
          </w:tcPr>
          <w:p>
            <w:pPr>
              <w:adjustRightInd w:val="0"/>
              <w:snapToGrid w:val="0"/>
              <w:spacing w:before="156" w:beforeLines="50" w:line="360" w:lineRule="auto"/>
              <w:jc w:val="center"/>
              <w:rPr>
                <w:rFonts w:asciiTheme="minorEastAsia" w:hAnsiTheme="minorEastAsia"/>
                <w:b/>
                <w:sz w:val="28"/>
                <w:szCs w:val="28"/>
              </w:rPr>
            </w:pPr>
          </w:p>
        </w:tc>
        <w:tc>
          <w:tcPr>
            <w:tcW w:w="1416"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991" w:type="dxa"/>
            <w:vMerge w:val="continue"/>
            <w:vAlign w:val="center"/>
          </w:tcPr>
          <w:p>
            <w:pPr>
              <w:adjustRightInd w:val="0"/>
              <w:snapToGrid w:val="0"/>
              <w:spacing w:before="156" w:beforeLines="50" w:line="360" w:lineRule="auto"/>
              <w:jc w:val="center"/>
              <w:rPr>
                <w:rFonts w:asciiTheme="minorEastAsia" w:hAnsiTheme="minorEastAsia"/>
                <w:b/>
                <w:sz w:val="28"/>
                <w:szCs w:val="28"/>
              </w:rPr>
            </w:pPr>
          </w:p>
        </w:tc>
        <w:tc>
          <w:tcPr>
            <w:tcW w:w="878" w:type="dxa"/>
            <w:vMerge w:val="continue"/>
            <w:vAlign w:val="center"/>
          </w:tcPr>
          <w:p>
            <w:pPr>
              <w:adjustRightInd w:val="0"/>
              <w:snapToGrid w:val="0"/>
              <w:spacing w:before="156" w:beforeLines="50" w:line="360" w:lineRule="auto"/>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34"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226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6"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991"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878" w:type="dxa"/>
            <w:vAlign w:val="center"/>
          </w:tcPr>
          <w:p>
            <w:pPr>
              <w:adjustRightInd w:val="0"/>
              <w:snapToGrid w:val="0"/>
              <w:spacing w:before="156" w:beforeLines="50" w:line="360" w:lineRule="auto"/>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534"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226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6"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991"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878" w:type="dxa"/>
            <w:vAlign w:val="center"/>
          </w:tcPr>
          <w:p>
            <w:pPr>
              <w:adjustRightInd w:val="0"/>
              <w:snapToGrid w:val="0"/>
              <w:spacing w:before="156" w:beforeLines="50" w:line="360" w:lineRule="auto"/>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534"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226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6"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991"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878" w:type="dxa"/>
            <w:vAlign w:val="center"/>
          </w:tcPr>
          <w:p>
            <w:pPr>
              <w:adjustRightInd w:val="0"/>
              <w:snapToGrid w:val="0"/>
              <w:spacing w:before="156" w:beforeLines="50" w:line="360" w:lineRule="auto"/>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534"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226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6"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559"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1418"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991" w:type="dxa"/>
            <w:vAlign w:val="center"/>
          </w:tcPr>
          <w:p>
            <w:pPr>
              <w:adjustRightInd w:val="0"/>
              <w:snapToGrid w:val="0"/>
              <w:spacing w:before="156" w:beforeLines="50" w:line="360" w:lineRule="auto"/>
              <w:jc w:val="center"/>
              <w:rPr>
                <w:rFonts w:asciiTheme="minorEastAsia" w:hAnsiTheme="minorEastAsia"/>
                <w:b/>
                <w:sz w:val="28"/>
                <w:szCs w:val="28"/>
              </w:rPr>
            </w:pPr>
          </w:p>
        </w:tc>
        <w:tc>
          <w:tcPr>
            <w:tcW w:w="878" w:type="dxa"/>
            <w:vAlign w:val="center"/>
          </w:tcPr>
          <w:p>
            <w:pPr>
              <w:adjustRightInd w:val="0"/>
              <w:snapToGrid w:val="0"/>
              <w:spacing w:before="156" w:beforeLines="50" w:line="360" w:lineRule="auto"/>
              <w:jc w:val="center"/>
              <w:rPr>
                <w:rFonts w:asciiTheme="minorEastAsia" w:hAnsiTheme="minorEastAsia"/>
                <w:b/>
                <w:sz w:val="28"/>
                <w:szCs w:val="28"/>
              </w:rPr>
            </w:pPr>
          </w:p>
        </w:tc>
      </w:tr>
    </w:tbl>
    <w:p>
      <w:pPr>
        <w:ind w:firstLine="420" w:firstLineChars="200"/>
        <w:rPr>
          <w:rFonts w:ascii="宋体" w:eastAsia="宋体" w:hAnsiTheme="minorEastAsia"/>
        </w:rPr>
      </w:pPr>
    </w:p>
    <w:sectPr>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31CAC"/>
    <w:rsid w:val="000833A7"/>
    <w:rsid w:val="001327FE"/>
    <w:rsid w:val="00136678"/>
    <w:rsid w:val="0015451D"/>
    <w:rsid w:val="00191044"/>
    <w:rsid w:val="00196624"/>
    <w:rsid w:val="001A31A8"/>
    <w:rsid w:val="001A7728"/>
    <w:rsid w:val="001D50FE"/>
    <w:rsid w:val="001E11C0"/>
    <w:rsid w:val="001E13B6"/>
    <w:rsid w:val="001F6A44"/>
    <w:rsid w:val="00232F99"/>
    <w:rsid w:val="00240C43"/>
    <w:rsid w:val="00254244"/>
    <w:rsid w:val="00287C13"/>
    <w:rsid w:val="002929F8"/>
    <w:rsid w:val="002A43E8"/>
    <w:rsid w:val="002E56E3"/>
    <w:rsid w:val="003464D0"/>
    <w:rsid w:val="00361799"/>
    <w:rsid w:val="00395390"/>
    <w:rsid w:val="003B2381"/>
    <w:rsid w:val="003B3E2D"/>
    <w:rsid w:val="003D61A9"/>
    <w:rsid w:val="003E76FA"/>
    <w:rsid w:val="004000DF"/>
    <w:rsid w:val="00405F20"/>
    <w:rsid w:val="00442641"/>
    <w:rsid w:val="004C16AB"/>
    <w:rsid w:val="004D69F9"/>
    <w:rsid w:val="005739B4"/>
    <w:rsid w:val="005929DB"/>
    <w:rsid w:val="005F1E8C"/>
    <w:rsid w:val="005F37A1"/>
    <w:rsid w:val="00603B58"/>
    <w:rsid w:val="00673896"/>
    <w:rsid w:val="006872EF"/>
    <w:rsid w:val="006B6CBA"/>
    <w:rsid w:val="006B7224"/>
    <w:rsid w:val="006D10C4"/>
    <w:rsid w:val="00710A8F"/>
    <w:rsid w:val="00717C36"/>
    <w:rsid w:val="007337F1"/>
    <w:rsid w:val="00753B01"/>
    <w:rsid w:val="0075544E"/>
    <w:rsid w:val="007660F2"/>
    <w:rsid w:val="00775EF7"/>
    <w:rsid w:val="007967A3"/>
    <w:rsid w:val="007D058C"/>
    <w:rsid w:val="007D6E4D"/>
    <w:rsid w:val="007E54FB"/>
    <w:rsid w:val="007E7541"/>
    <w:rsid w:val="007F74DE"/>
    <w:rsid w:val="00823216"/>
    <w:rsid w:val="00845DA3"/>
    <w:rsid w:val="00853621"/>
    <w:rsid w:val="008776E5"/>
    <w:rsid w:val="008810BC"/>
    <w:rsid w:val="00881583"/>
    <w:rsid w:val="00881ED0"/>
    <w:rsid w:val="00901916"/>
    <w:rsid w:val="009106B2"/>
    <w:rsid w:val="00936845"/>
    <w:rsid w:val="00985269"/>
    <w:rsid w:val="009976C4"/>
    <w:rsid w:val="009B108A"/>
    <w:rsid w:val="00A101BD"/>
    <w:rsid w:val="00A1206D"/>
    <w:rsid w:val="00A467DB"/>
    <w:rsid w:val="00AA0931"/>
    <w:rsid w:val="00AD0F7C"/>
    <w:rsid w:val="00AE29BC"/>
    <w:rsid w:val="00B1328E"/>
    <w:rsid w:val="00B1643C"/>
    <w:rsid w:val="00B23F6E"/>
    <w:rsid w:val="00B642F4"/>
    <w:rsid w:val="00B967A7"/>
    <w:rsid w:val="00BA04E8"/>
    <w:rsid w:val="00BA130C"/>
    <w:rsid w:val="00C10A0B"/>
    <w:rsid w:val="00C177AB"/>
    <w:rsid w:val="00C203DE"/>
    <w:rsid w:val="00C331F6"/>
    <w:rsid w:val="00C415E6"/>
    <w:rsid w:val="00C77EEF"/>
    <w:rsid w:val="00C82B87"/>
    <w:rsid w:val="00CA371F"/>
    <w:rsid w:val="00CB4A4C"/>
    <w:rsid w:val="00CB5D91"/>
    <w:rsid w:val="00D15EEF"/>
    <w:rsid w:val="00D30C9B"/>
    <w:rsid w:val="00DB5878"/>
    <w:rsid w:val="00E412F0"/>
    <w:rsid w:val="00E54438"/>
    <w:rsid w:val="00E971A6"/>
    <w:rsid w:val="00EA0020"/>
    <w:rsid w:val="00EB323E"/>
    <w:rsid w:val="00EC1C76"/>
    <w:rsid w:val="00EC4B98"/>
    <w:rsid w:val="00EF1E01"/>
    <w:rsid w:val="00EF627D"/>
    <w:rsid w:val="00F21E20"/>
    <w:rsid w:val="00F45090"/>
    <w:rsid w:val="00F50973"/>
    <w:rsid w:val="00FC231B"/>
    <w:rsid w:val="00FC6344"/>
    <w:rsid w:val="63184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8">
    <w:name w:val="Hyperlink"/>
    <w:basedOn w:val="7"/>
    <w:semiHidden/>
    <w:unhideWhenUsed/>
    <w:uiPriority w:val="99"/>
    <w:rPr>
      <w:color w:val="404040"/>
      <w:u w:val="none"/>
    </w:rPr>
  </w:style>
  <w:style w:type="character" w:customStyle="1" w:styleId="10">
    <w:name w:val="标题 1 Char"/>
    <w:basedOn w:val="7"/>
    <w:link w:val="2"/>
    <w:uiPriority w:val="9"/>
    <w:rPr>
      <w:rFonts w:ascii="宋体" w:hAnsi="宋体" w:eastAsia="宋体" w:cs="宋体"/>
      <w:b/>
      <w:bCs/>
      <w:kern w:val="36"/>
      <w:sz w:val="24"/>
      <w:szCs w:val="24"/>
    </w:rPr>
  </w:style>
  <w:style w:type="character" w:customStyle="1" w:styleId="11">
    <w:name w:val="f-fr"/>
    <w:basedOn w:val="7"/>
    <w:uiPriority w:val="0"/>
  </w:style>
  <w:style w:type="character" w:customStyle="1" w:styleId="12">
    <w:name w:val="页眉 Char"/>
    <w:basedOn w:val="7"/>
    <w:link w:val="5"/>
    <w:qFormat/>
    <w:uiPriority w:val="99"/>
    <w:rPr>
      <w:sz w:val="18"/>
      <w:szCs w:val="18"/>
    </w:rPr>
  </w:style>
  <w:style w:type="character" w:customStyle="1" w:styleId="13">
    <w:name w:val="页脚 Char"/>
    <w:basedOn w:val="7"/>
    <w:link w:val="4"/>
    <w:uiPriority w:val="99"/>
    <w:rPr>
      <w:sz w:val="18"/>
      <w:szCs w:val="18"/>
    </w:rPr>
  </w:style>
  <w:style w:type="character" w:customStyle="1" w:styleId="14">
    <w:name w:val="日期 Char"/>
    <w:basedOn w:val="7"/>
    <w:link w:val="3"/>
    <w:semiHidden/>
    <w:qFormat/>
    <w:uiPriority w:val="99"/>
  </w:style>
  <w:style w:type="character" w:customStyle="1" w:styleId="15">
    <w:name w:val="HTML 预设格式 Char"/>
    <w:link w:val="6"/>
    <w:qFormat/>
    <w:uiPriority w:val="0"/>
    <w:rPr>
      <w:rFonts w:ascii="宋体" w:hAnsi="宋体"/>
      <w:sz w:val="24"/>
    </w:rPr>
  </w:style>
  <w:style w:type="character" w:customStyle="1" w:styleId="16">
    <w:name w:val="HTML 预设格式 Char1"/>
    <w:basedOn w:val="7"/>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66291-87C8-483E-91CF-BDC80B7EE9FC}">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458</Words>
  <Characters>2616</Characters>
  <Lines>21</Lines>
  <Paragraphs>6</Paragraphs>
  <TotalTime>16</TotalTime>
  <ScaleCrop>false</ScaleCrop>
  <LinksUpToDate>false</LinksUpToDate>
  <CharactersWithSpaces>3068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2018-06-05T06:29:00Z</dcterms:created>
  <dc:creator>王剑</dc:creator>
  <cp:lastModifiedBy>屈春晖</cp:lastModifiedBy>
  <dcterms:modified xsi:type="dcterms:W3CDTF">2018-06-05T06:51:27Z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