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FD5C20" w:rsidRDefault="00696C30" w:rsidP="0044456E">
      <w:pPr>
        <w:jc w:val="center"/>
        <w:rPr>
          <w:rFonts w:ascii="华文中宋" w:eastAsia="华文中宋" w:hAnsi="华文中宋" w:cs="宋体"/>
          <w:color w:val="333333"/>
          <w:kern w:val="0"/>
          <w:sz w:val="44"/>
          <w:szCs w:val="44"/>
        </w:rPr>
      </w:pPr>
      <w:r w:rsidRPr="00265600">
        <w:rPr>
          <w:rFonts w:ascii="华文中宋" w:eastAsia="华文中宋" w:hAnsi="华文中宋" w:cs="宋体" w:hint="eastAsia"/>
          <w:color w:val="333333"/>
          <w:kern w:val="0"/>
          <w:sz w:val="44"/>
          <w:szCs w:val="44"/>
        </w:rPr>
        <w:t>开</w:t>
      </w:r>
      <w:r>
        <w:rPr>
          <w:rFonts w:ascii="华文中宋" w:eastAsia="华文中宋" w:hAnsi="华文中宋" w:cs="宋体" w:hint="eastAsia"/>
          <w:color w:val="333333"/>
          <w:kern w:val="0"/>
          <w:sz w:val="44"/>
          <w:szCs w:val="44"/>
        </w:rPr>
        <w:t>展</w:t>
      </w:r>
      <w:r w:rsidR="00124C78">
        <w:rPr>
          <w:rFonts w:ascii="华文中宋" w:eastAsia="华文中宋" w:hAnsi="华文中宋" w:cs="宋体" w:hint="eastAsia"/>
          <w:color w:val="333333"/>
          <w:kern w:val="0"/>
          <w:sz w:val="44"/>
          <w:szCs w:val="44"/>
        </w:rPr>
        <w:t>迎冬奥志愿者技能大赛</w:t>
      </w:r>
      <w:r w:rsidR="00B45FE5" w:rsidRPr="00B45FE5">
        <w:rPr>
          <w:rFonts w:ascii="华文中宋" w:eastAsia="华文中宋" w:hAnsi="华文中宋" w:cs="宋体" w:hint="eastAsia"/>
          <w:color w:val="333333"/>
          <w:kern w:val="0"/>
          <w:sz w:val="44"/>
          <w:szCs w:val="44"/>
        </w:rPr>
        <w:t>项目</w:t>
      </w:r>
      <w:r w:rsidR="002A43E8" w:rsidRPr="00FD5C20">
        <w:rPr>
          <w:rFonts w:ascii="华文中宋" w:eastAsia="华文中宋" w:hAnsi="华文中宋" w:cs="宋体" w:hint="eastAsia"/>
          <w:color w:val="333333"/>
          <w:kern w:val="0"/>
          <w:sz w:val="44"/>
          <w:szCs w:val="44"/>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85A91" w:rsidP="00285A91">
            <w:pPr>
              <w:snapToGrid w:val="0"/>
              <w:spacing w:line="240" w:lineRule="exact"/>
              <w:jc w:val="center"/>
              <w:rPr>
                <w:rFonts w:ascii="宋体" w:hAnsi="宋体"/>
                <w:b/>
                <w:sz w:val="18"/>
              </w:rPr>
            </w:pPr>
          </w:p>
        </w:tc>
        <w:tc>
          <w:tcPr>
            <w:tcW w:w="606" w:type="pct"/>
            <w:vAlign w:val="center"/>
          </w:tcPr>
          <w:p w:rsidR="00285A91" w:rsidRPr="002A43E8" w:rsidRDefault="00285A91" w:rsidP="00673896">
            <w:pPr>
              <w:snapToGrid w:val="0"/>
              <w:spacing w:line="240" w:lineRule="exact"/>
              <w:jc w:val="center"/>
              <w:rPr>
                <w:rFonts w:ascii="宋体" w:hAnsi="宋体"/>
                <w:b/>
                <w:sz w:val="18"/>
              </w:rPr>
            </w:pPr>
          </w:p>
        </w:tc>
        <w:tc>
          <w:tcPr>
            <w:tcW w:w="587" w:type="pct"/>
            <w:vAlign w:val="center"/>
          </w:tcPr>
          <w:p w:rsidR="00285A91" w:rsidRPr="002A43E8" w:rsidRDefault="00285A91" w:rsidP="00673896">
            <w:pPr>
              <w:snapToGrid w:val="0"/>
              <w:spacing w:line="240" w:lineRule="exact"/>
              <w:jc w:val="center"/>
              <w:rPr>
                <w:rFonts w:ascii="宋体" w:hAnsi="宋体"/>
                <w:b/>
                <w:sz w:val="18"/>
              </w:rPr>
            </w:pP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360EFE" w:rsidP="00360EFE">
            <w:pPr>
              <w:snapToGrid w:val="0"/>
              <w:spacing w:line="240" w:lineRule="exact"/>
              <w:rPr>
                <w:rFonts w:ascii="宋体" w:hAnsi="宋体"/>
                <w:sz w:val="18"/>
              </w:rPr>
            </w:pPr>
            <w:r>
              <w:rPr>
                <w:rFonts w:ascii="宋体" w:hAnsi="宋体" w:hint="eastAsia"/>
                <w:sz w:val="18"/>
              </w:rPr>
              <w:t>机构财务条件具有履约能力（</w:t>
            </w:r>
            <w:r w:rsidR="00285A91" w:rsidRPr="00660165">
              <w:rPr>
                <w:rFonts w:ascii="宋体" w:hAnsi="宋体" w:hint="eastAsia"/>
                <w:sz w:val="18"/>
              </w:rPr>
              <w:t>近</w:t>
            </w:r>
            <w:r w:rsidR="00834C9A">
              <w:rPr>
                <w:rFonts w:ascii="宋体" w:hAnsi="宋体"/>
                <w:sz w:val="18"/>
              </w:rPr>
              <w:t>一年</w:t>
            </w:r>
            <w:r w:rsidR="00285A91" w:rsidRPr="00660165">
              <w:rPr>
                <w:rFonts w:ascii="宋体" w:hAnsi="宋体" w:hint="eastAsia"/>
                <w:sz w:val="18"/>
              </w:rPr>
              <w:t>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3A4ED7" w:rsidRDefault="00285A91" w:rsidP="00500344">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205" w:type="pct"/>
            <w:shd w:val="clear" w:color="auto" w:fill="auto"/>
            <w:vAlign w:val="center"/>
          </w:tcPr>
          <w:p w:rsidR="00285A91" w:rsidRPr="003A4ED7" w:rsidRDefault="00285A91" w:rsidP="00DF54B9">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2022" w:type="pct"/>
            <w:shd w:val="clear" w:color="auto" w:fill="auto"/>
            <w:vAlign w:val="center"/>
          </w:tcPr>
          <w:p w:rsidR="00285A91" w:rsidRPr="003A4ED7" w:rsidRDefault="00285A91" w:rsidP="00DF54B9">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3A4ED7" w:rsidRDefault="00285A91" w:rsidP="00DF54B9">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606" w:type="pct"/>
            <w:vAlign w:val="center"/>
          </w:tcPr>
          <w:p w:rsidR="00285A91" w:rsidRPr="003A4ED7" w:rsidRDefault="00285A91" w:rsidP="00673896">
            <w:pPr>
              <w:spacing w:line="240" w:lineRule="exact"/>
              <w:jc w:val="center"/>
              <w:rPr>
                <w:rFonts w:ascii="宋体" w:hAnsi="宋体"/>
                <w:color w:val="000000" w:themeColor="text1"/>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bookmarkStart w:id="0" w:name="_GoBack"/>
            <w:bookmarkEnd w:id="0"/>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5B3" w:rsidRDefault="002535B3" w:rsidP="00A1206D">
      <w:r>
        <w:separator/>
      </w:r>
    </w:p>
  </w:endnote>
  <w:endnote w:type="continuationSeparator" w:id="1">
    <w:p w:rsidR="002535B3" w:rsidRDefault="002535B3"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panose1 w:val="02010609060101010101"/>
    <w:charset w:val="86"/>
    <w:family w:val="modern"/>
    <w:pitch w:val="fixed"/>
    <w:sig w:usb0="800022A7"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86427E" w:rsidRPr="00A40DDB">
      <w:rPr>
        <w:sz w:val="28"/>
        <w:szCs w:val="28"/>
      </w:rPr>
      <w:fldChar w:fldCharType="begin"/>
    </w:r>
    <w:r w:rsidRPr="00A40DDB">
      <w:rPr>
        <w:sz w:val="28"/>
        <w:szCs w:val="28"/>
      </w:rPr>
      <w:instrText xml:space="preserve"> PAGE   \* MERGEFORMAT </w:instrText>
    </w:r>
    <w:r w:rsidR="0086427E" w:rsidRPr="00A40DDB">
      <w:rPr>
        <w:sz w:val="28"/>
        <w:szCs w:val="28"/>
      </w:rPr>
      <w:fldChar w:fldCharType="separate"/>
    </w:r>
    <w:r w:rsidRPr="00D03940">
      <w:rPr>
        <w:noProof/>
        <w:sz w:val="28"/>
        <w:szCs w:val="28"/>
        <w:lang w:val="zh-CN"/>
      </w:rPr>
      <w:t>12</w:t>
    </w:r>
    <w:r w:rsidR="0086427E"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86427E" w:rsidRPr="00A40DDB">
      <w:rPr>
        <w:sz w:val="28"/>
        <w:szCs w:val="28"/>
      </w:rPr>
      <w:fldChar w:fldCharType="begin"/>
    </w:r>
    <w:r w:rsidRPr="00A40DDB">
      <w:rPr>
        <w:sz w:val="28"/>
        <w:szCs w:val="28"/>
      </w:rPr>
      <w:instrText xml:space="preserve"> PAGE   \* MERGEFORMAT </w:instrText>
    </w:r>
    <w:r w:rsidR="0086427E" w:rsidRPr="00A40DDB">
      <w:rPr>
        <w:sz w:val="28"/>
        <w:szCs w:val="28"/>
      </w:rPr>
      <w:fldChar w:fldCharType="separate"/>
    </w:r>
    <w:r w:rsidR="00360EFE" w:rsidRPr="00360EFE">
      <w:rPr>
        <w:noProof/>
        <w:sz w:val="28"/>
        <w:szCs w:val="28"/>
        <w:lang w:val="zh-CN"/>
      </w:rPr>
      <w:t>1</w:t>
    </w:r>
    <w:r w:rsidR="0086427E"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5B3" w:rsidRDefault="002535B3" w:rsidP="00A1206D">
      <w:r>
        <w:separator/>
      </w:r>
    </w:p>
  </w:footnote>
  <w:footnote w:type="continuationSeparator" w:id="1">
    <w:p w:rsidR="002535B3" w:rsidRDefault="002535B3"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B98"/>
    <w:rsid w:val="00031CAC"/>
    <w:rsid w:val="000811F5"/>
    <w:rsid w:val="000833A7"/>
    <w:rsid w:val="000E5976"/>
    <w:rsid w:val="000F1DED"/>
    <w:rsid w:val="00124C78"/>
    <w:rsid w:val="001327FE"/>
    <w:rsid w:val="00136678"/>
    <w:rsid w:val="0014634C"/>
    <w:rsid w:val="0015451D"/>
    <w:rsid w:val="00191044"/>
    <w:rsid w:val="00196021"/>
    <w:rsid w:val="001A31A8"/>
    <w:rsid w:val="001A7728"/>
    <w:rsid w:val="001B4340"/>
    <w:rsid w:val="001D50FE"/>
    <w:rsid w:val="001D6A0A"/>
    <w:rsid w:val="001E11C0"/>
    <w:rsid w:val="001E13B6"/>
    <w:rsid w:val="001E25CD"/>
    <w:rsid w:val="00212C3D"/>
    <w:rsid w:val="0022363D"/>
    <w:rsid w:val="00232050"/>
    <w:rsid w:val="00232F99"/>
    <w:rsid w:val="00240C43"/>
    <w:rsid w:val="00246614"/>
    <w:rsid w:val="002535B3"/>
    <w:rsid w:val="00254244"/>
    <w:rsid w:val="00285A91"/>
    <w:rsid w:val="00287C13"/>
    <w:rsid w:val="002929F8"/>
    <w:rsid w:val="002A43E8"/>
    <w:rsid w:val="002B7AE5"/>
    <w:rsid w:val="002E56E3"/>
    <w:rsid w:val="0030766B"/>
    <w:rsid w:val="00321AAC"/>
    <w:rsid w:val="003464D0"/>
    <w:rsid w:val="00360EFE"/>
    <w:rsid w:val="00361799"/>
    <w:rsid w:val="003A4ED7"/>
    <w:rsid w:val="003B2381"/>
    <w:rsid w:val="003B3BA7"/>
    <w:rsid w:val="003B3E2D"/>
    <w:rsid w:val="003D0874"/>
    <w:rsid w:val="003D2D3E"/>
    <w:rsid w:val="003D61A9"/>
    <w:rsid w:val="003E76FA"/>
    <w:rsid w:val="004000DF"/>
    <w:rsid w:val="0044456E"/>
    <w:rsid w:val="00460DBC"/>
    <w:rsid w:val="00463F2E"/>
    <w:rsid w:val="00492266"/>
    <w:rsid w:val="004C16AB"/>
    <w:rsid w:val="00500344"/>
    <w:rsid w:val="00523C3D"/>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96C30"/>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666C0"/>
    <w:rsid w:val="00794B66"/>
    <w:rsid w:val="007967A3"/>
    <w:rsid w:val="007D0510"/>
    <w:rsid w:val="007D058C"/>
    <w:rsid w:val="007E54FB"/>
    <w:rsid w:val="007E7541"/>
    <w:rsid w:val="007F74DE"/>
    <w:rsid w:val="00823216"/>
    <w:rsid w:val="0082461F"/>
    <w:rsid w:val="00827EFC"/>
    <w:rsid w:val="00834C9A"/>
    <w:rsid w:val="00840E41"/>
    <w:rsid w:val="00853621"/>
    <w:rsid w:val="00854A84"/>
    <w:rsid w:val="008623BA"/>
    <w:rsid w:val="0086427E"/>
    <w:rsid w:val="008776E5"/>
    <w:rsid w:val="008810BC"/>
    <w:rsid w:val="00881ED0"/>
    <w:rsid w:val="008922AC"/>
    <w:rsid w:val="00901916"/>
    <w:rsid w:val="009106B2"/>
    <w:rsid w:val="00936845"/>
    <w:rsid w:val="00942EA7"/>
    <w:rsid w:val="00962C61"/>
    <w:rsid w:val="00985269"/>
    <w:rsid w:val="009976C4"/>
    <w:rsid w:val="009B108A"/>
    <w:rsid w:val="009E05E3"/>
    <w:rsid w:val="009E0B3B"/>
    <w:rsid w:val="00A101BD"/>
    <w:rsid w:val="00A1206D"/>
    <w:rsid w:val="00A36663"/>
    <w:rsid w:val="00A467DB"/>
    <w:rsid w:val="00A56F14"/>
    <w:rsid w:val="00AA0931"/>
    <w:rsid w:val="00AE0B2B"/>
    <w:rsid w:val="00AF2AA0"/>
    <w:rsid w:val="00B1328E"/>
    <w:rsid w:val="00B1643C"/>
    <w:rsid w:val="00B23F6E"/>
    <w:rsid w:val="00B33BB0"/>
    <w:rsid w:val="00B45FE5"/>
    <w:rsid w:val="00B67E85"/>
    <w:rsid w:val="00BA04E8"/>
    <w:rsid w:val="00BA130C"/>
    <w:rsid w:val="00BD22C4"/>
    <w:rsid w:val="00C10A0B"/>
    <w:rsid w:val="00C177AB"/>
    <w:rsid w:val="00C331F6"/>
    <w:rsid w:val="00C415E6"/>
    <w:rsid w:val="00C82B87"/>
    <w:rsid w:val="00CA371F"/>
    <w:rsid w:val="00CC4521"/>
    <w:rsid w:val="00D30C9B"/>
    <w:rsid w:val="00D34932"/>
    <w:rsid w:val="00D8232B"/>
    <w:rsid w:val="00D930CC"/>
    <w:rsid w:val="00DB5878"/>
    <w:rsid w:val="00DD1C41"/>
    <w:rsid w:val="00DF54B9"/>
    <w:rsid w:val="00E13F34"/>
    <w:rsid w:val="00E3418E"/>
    <w:rsid w:val="00E412F0"/>
    <w:rsid w:val="00E9091D"/>
    <w:rsid w:val="00E971A6"/>
    <w:rsid w:val="00EA0020"/>
    <w:rsid w:val="00EB323E"/>
    <w:rsid w:val="00EC13EA"/>
    <w:rsid w:val="00EC1C76"/>
    <w:rsid w:val="00EC4B98"/>
    <w:rsid w:val="00ED152B"/>
    <w:rsid w:val="00EF1E01"/>
    <w:rsid w:val="00F21E20"/>
    <w:rsid w:val="00F415B0"/>
    <w:rsid w:val="00F44BC2"/>
    <w:rsid w:val="00F45090"/>
    <w:rsid w:val="00F50973"/>
    <w:rsid w:val="00F53B68"/>
    <w:rsid w:val="00FD5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A7"/>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151</Words>
  <Characters>864</Characters>
  <Application>Microsoft Office Word</Application>
  <DocSecurity>0</DocSecurity>
  <Lines>7</Lines>
  <Paragraphs>2</Paragraphs>
  <ScaleCrop>false</ScaleCrop>
  <Company>Lenovo</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吕聪聪</cp:lastModifiedBy>
  <cp:revision>15</cp:revision>
  <cp:lastPrinted>2019-06-11T01:30:00Z</cp:lastPrinted>
  <dcterms:created xsi:type="dcterms:W3CDTF">2019-04-09T03:08:00Z</dcterms:created>
  <dcterms:modified xsi:type="dcterms:W3CDTF">2020-09-07T01:24:00Z</dcterms:modified>
</cp:coreProperties>
</file>