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r>
        <w:rPr>
          <w:rFonts w:hint="eastAsia" w:ascii="黑体" w:hAnsi="黑体" w:eastAsia="黑体" w:cs="宋体"/>
          <w:color w:val="000000"/>
          <w:kern w:val="0"/>
        </w:rPr>
        <w:t>附件</w:t>
      </w:r>
    </w:p>
    <w:p>
      <w:pPr>
        <w:jc w:val="center"/>
        <w:rPr>
          <w:rFonts w:ascii="华文中宋" w:hAnsi="华文中宋" w:eastAsia="华文中宋"/>
          <w:b/>
          <w:sz w:val="36"/>
          <w:szCs w:val="36"/>
        </w:rPr>
      </w:pPr>
      <w:bookmarkStart w:id="0" w:name="_GoBack"/>
      <w:r>
        <w:rPr>
          <w:rFonts w:hint="eastAsia" w:ascii="华文中宋" w:hAnsi="华文中宋" w:eastAsia="华文中宋"/>
          <w:b/>
          <w:sz w:val="36"/>
          <w:szCs w:val="36"/>
        </w:rPr>
        <w:t>2020年北京市残疾人需求采集和服务响应常态化工作数据录入上报项目</w:t>
      </w:r>
      <w:r>
        <w:rPr>
          <w:rFonts w:hint="eastAsia" w:ascii="华文中宋" w:hAnsi="华文中宋" w:eastAsia="华文中宋" w:cs="Times New Roman"/>
          <w:b/>
          <w:sz w:val="36"/>
          <w:szCs w:val="36"/>
        </w:rPr>
        <w:t>综合</w:t>
      </w:r>
      <w:r>
        <w:rPr>
          <w:rFonts w:hint="eastAsia" w:ascii="华文中宋" w:hAnsi="华文中宋" w:eastAsia="华文中宋" w:cs="宋体"/>
          <w:b/>
          <w:color w:val="000000"/>
          <w:kern w:val="0"/>
          <w:sz w:val="36"/>
          <w:szCs w:val="36"/>
        </w:rPr>
        <w:t>评分表</w:t>
      </w:r>
    </w:p>
    <w:bookmarkEnd w:id="0"/>
    <w:p>
      <w:pPr>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采购单位：  北京市残疾人社会服务指导中心   </w:t>
      </w:r>
      <w:r>
        <w:rPr>
          <w:rFonts w:hint="eastAsia" w:ascii="宋体-18030" w:hAnsi="宋体-18030" w:eastAsia="宋体-18030" w:cs="宋体-18030"/>
          <w:color w:val="000000"/>
          <w:kern w:val="0"/>
          <w:szCs w:val="21"/>
        </w:rPr>
        <w:t xml:space="preserve">                                                       </w:t>
      </w:r>
      <w:r>
        <w:rPr>
          <w:rFonts w:hint="eastAsia" w:ascii="仿宋_GB2312" w:hAnsi="仿宋_GB2312" w:eastAsia="仿宋_GB2312" w:cs="仿宋_GB2312"/>
          <w:color w:val="000000"/>
          <w:kern w:val="0"/>
          <w:szCs w:val="21"/>
        </w:rPr>
        <w:t>日期：</w:t>
      </w:r>
    </w:p>
    <w:tbl>
      <w:tblPr>
        <w:tblStyle w:val="3"/>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840"/>
        <w:gridCol w:w="989"/>
        <w:gridCol w:w="602"/>
        <w:gridCol w:w="1023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sz w:val="18"/>
                <w:szCs w:val="18"/>
              </w:rPr>
            </w:pPr>
            <w:r>
              <w:rPr>
                <w:rFonts w:hint="eastAsia" w:ascii="宋体" w:hAnsi="宋体"/>
                <w:b/>
                <w:sz w:val="18"/>
                <w:szCs w:val="18"/>
              </w:rPr>
              <w:t>序号</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sz w:val="18"/>
                <w:szCs w:val="18"/>
              </w:rPr>
            </w:pPr>
            <w:r>
              <w:rPr>
                <w:rFonts w:hint="eastAsia" w:ascii="宋体" w:hAnsi="宋体"/>
                <w:b/>
                <w:sz w:val="18"/>
                <w:szCs w:val="18"/>
              </w:rPr>
              <w:t>评分因素</w:t>
            </w:r>
          </w:p>
        </w:tc>
        <w:tc>
          <w:tcPr>
            <w:tcW w:w="9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sz w:val="18"/>
                <w:szCs w:val="18"/>
              </w:rPr>
            </w:pPr>
            <w:r>
              <w:rPr>
                <w:rFonts w:hint="eastAsia" w:ascii="宋体" w:hAnsi="宋体"/>
                <w:b/>
                <w:sz w:val="18"/>
                <w:szCs w:val="18"/>
              </w:rPr>
              <w:t>项 目</w:t>
            </w:r>
          </w:p>
        </w:tc>
        <w:tc>
          <w:tcPr>
            <w:tcW w:w="6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sz w:val="18"/>
                <w:szCs w:val="18"/>
              </w:rPr>
            </w:pPr>
            <w:r>
              <w:rPr>
                <w:rFonts w:hint="eastAsia" w:ascii="宋体" w:hAnsi="宋体"/>
                <w:b/>
                <w:sz w:val="18"/>
                <w:szCs w:val="18"/>
              </w:rPr>
              <w:t>标准分</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sz w:val="18"/>
                <w:szCs w:val="18"/>
              </w:rPr>
            </w:pPr>
            <w:r>
              <w:rPr>
                <w:rFonts w:hint="eastAsia" w:ascii="宋体" w:hAnsi="宋体"/>
                <w:b/>
                <w:sz w:val="18"/>
                <w:szCs w:val="18"/>
              </w:rPr>
              <w:t>评分标准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hint="eastAsia" w:ascii="宋体" w:hAnsi="宋体"/>
                <w:b/>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hint="eastAsia" w:ascii="宋体" w:hAnsi="宋体"/>
                <w:sz w:val="18"/>
                <w:szCs w:val="18"/>
              </w:rPr>
              <w:t>1</w:t>
            </w:r>
          </w:p>
        </w:tc>
        <w:tc>
          <w:tcPr>
            <w:tcW w:w="8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b/>
                <w:sz w:val="18"/>
                <w:szCs w:val="18"/>
              </w:rPr>
              <w:t>商务部分（35分）</w:t>
            </w:r>
          </w:p>
        </w:tc>
        <w:tc>
          <w:tcPr>
            <w:tcW w:w="9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机构资质</w:t>
            </w:r>
          </w:p>
        </w:tc>
        <w:tc>
          <w:tcPr>
            <w:tcW w:w="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hint="eastAsia" w:ascii="宋体" w:hAnsi="宋体"/>
                <w:sz w:val="18"/>
                <w:szCs w:val="18"/>
              </w:rPr>
              <w:t>20</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机构相关资格证明文件（企业法人营业执照、机构登记证书或其他组织证书）、机构法定代表人身份证复印件、法定代表人授权证书、受委托人身份证复印件</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机构财务条件具有履约能力（近六个月内任三个月依法缴纳税收和社会保障金的凭证复印件）</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机构信用证明材料或近三年内在经营活动中没有重大违法记录的书面声明，并加盖公章</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具有计算机信息系统集成一级资质证书得4分；信息系统集成二级资质证书得2分；没有得0分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具有软件成熟度CMMI5级评估证书的，得</w:t>
            </w:r>
            <w:r>
              <w:rPr>
                <w:rFonts w:hint="eastAsia" w:ascii="宋体" w:hAnsi="宋体"/>
                <w:sz w:val="18"/>
                <w:szCs w:val="18"/>
                <w:lang w:val="en-US" w:eastAsia="zh-CN"/>
              </w:rPr>
              <w:t>4</w:t>
            </w:r>
            <w:r>
              <w:rPr>
                <w:rFonts w:hint="eastAsia" w:ascii="宋体" w:hAnsi="宋体"/>
                <w:sz w:val="18"/>
                <w:szCs w:val="18"/>
              </w:rPr>
              <w:t>分；CMMI3级评估证书的得</w:t>
            </w:r>
            <w:r>
              <w:rPr>
                <w:rFonts w:hint="eastAsia" w:ascii="宋体" w:hAnsi="宋体"/>
                <w:sz w:val="18"/>
                <w:szCs w:val="18"/>
                <w:lang w:val="en-US" w:eastAsia="zh-CN"/>
              </w:rPr>
              <w:t>2</w:t>
            </w:r>
            <w:r>
              <w:rPr>
                <w:rFonts w:hint="eastAsia" w:ascii="宋体" w:hAnsi="宋体"/>
                <w:sz w:val="18"/>
                <w:szCs w:val="18"/>
              </w:rPr>
              <w:t>分；没有得0分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具有ISO27001信息安全管理体系认证证书、IT服务管理体系（20000）认证资质证书、ISO9001质量管理体系认证证书,</w:t>
            </w:r>
            <w:r>
              <w:rPr>
                <w:rFonts w:hint="eastAsia"/>
                <w:sz w:val="18"/>
                <w:szCs w:val="18"/>
              </w:rPr>
              <w:t xml:space="preserve"> </w:t>
            </w:r>
            <w:r>
              <w:rPr>
                <w:rFonts w:hint="eastAsia" w:ascii="宋体" w:hAnsi="宋体"/>
                <w:sz w:val="18"/>
                <w:szCs w:val="18"/>
              </w:rPr>
              <w:t>职业健康安全管理体系认证证书（18001），每提供一份得1分，共</w:t>
            </w:r>
            <w:r>
              <w:rPr>
                <w:rFonts w:hint="eastAsia" w:ascii="宋体" w:hAnsi="宋体"/>
                <w:sz w:val="18"/>
                <w:szCs w:val="18"/>
                <w:lang w:val="en-US" w:eastAsia="zh-CN"/>
              </w:rPr>
              <w:t>4</w:t>
            </w:r>
            <w:r>
              <w:rPr>
                <w:rFonts w:hint="eastAsia" w:ascii="宋体" w:hAnsi="宋体"/>
                <w:sz w:val="18"/>
                <w:szCs w:val="18"/>
              </w:rPr>
              <w:t>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相关业绩</w:t>
            </w:r>
          </w:p>
        </w:tc>
        <w:tc>
          <w:tcPr>
            <w:tcW w:w="6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hint="eastAsia" w:ascii="宋体" w:hAnsi="宋体"/>
                <w:sz w:val="18"/>
                <w:szCs w:val="18"/>
              </w:rPr>
              <w:t>15</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承担过类似项目，每提供一份合同复印件（含合同首页、内容所在页、合同金额页、签字盖章页）得3分，最高15分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ascii="宋体" w:hAnsi="宋体"/>
                <w:sz w:val="18"/>
                <w:szCs w:val="18"/>
              </w:rPr>
              <w:t>0-</w:t>
            </w:r>
            <w:r>
              <w:rPr>
                <w:rFonts w:hint="eastAsia"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sz w:val="18"/>
                <w:szCs w:val="18"/>
              </w:rPr>
            </w:pPr>
            <w:r>
              <w:rPr>
                <w:rFonts w:hint="eastAsia" w:ascii="宋体" w:hAnsi="宋体"/>
                <w:b/>
                <w:sz w:val="18"/>
                <w:szCs w:val="18"/>
              </w:rPr>
              <w:t>2</w:t>
            </w:r>
          </w:p>
        </w:tc>
        <w:tc>
          <w:tcPr>
            <w:tcW w:w="8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b/>
                <w:sz w:val="18"/>
                <w:szCs w:val="18"/>
              </w:rPr>
            </w:pPr>
            <w:r>
              <w:rPr>
                <w:rFonts w:hint="eastAsia" w:ascii="宋体" w:hAnsi="宋体"/>
                <w:b/>
                <w:sz w:val="18"/>
                <w:szCs w:val="18"/>
              </w:rPr>
              <w:t>技术部分（55分）</w:t>
            </w:r>
          </w:p>
        </w:tc>
        <w:tc>
          <w:tcPr>
            <w:tcW w:w="9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服务方案与措施</w:t>
            </w:r>
          </w:p>
        </w:tc>
        <w:tc>
          <w:tcPr>
            <w:tcW w:w="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ascii="宋体" w:hAnsi="宋体"/>
                <w:sz w:val="18"/>
                <w:szCs w:val="18"/>
              </w:rPr>
              <w:t>15</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服务方案完整，合理可行，服务内容及措施细致、具有针对性、有一定可操作性，能够满足项目需求（10</w:t>
            </w:r>
            <w:r>
              <w:rPr>
                <w:rFonts w:ascii="宋体" w:hAnsi="宋体"/>
                <w:sz w:val="18"/>
                <w:szCs w:val="18"/>
              </w:rPr>
              <w:t>-15</w:t>
            </w:r>
            <w:r>
              <w:rPr>
                <w:rFonts w:hint="eastAsia" w:ascii="宋体" w:hAnsi="宋体"/>
                <w:sz w:val="18"/>
                <w:szCs w:val="18"/>
              </w:rPr>
              <w:t>）</w:t>
            </w:r>
          </w:p>
        </w:tc>
        <w:tc>
          <w:tcPr>
            <w:tcW w:w="68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0</w:t>
            </w:r>
            <w:r>
              <w:rPr>
                <w:rFonts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服务方案比较完整，服务内容及措施较为细致、较有针对性、可操作性一般，基本能够实现项目需求（5</w:t>
            </w:r>
            <w:r>
              <w:rPr>
                <w:rFonts w:ascii="宋体" w:hAnsi="宋体"/>
                <w:sz w:val="18"/>
                <w:szCs w:val="18"/>
              </w:rPr>
              <w:t>-</w:t>
            </w:r>
            <w:r>
              <w:rPr>
                <w:rFonts w:hint="eastAsia" w:ascii="宋体" w:hAnsi="宋体"/>
                <w:sz w:val="18"/>
                <w:szCs w:val="18"/>
              </w:rPr>
              <w:t>9）</w:t>
            </w:r>
          </w:p>
        </w:tc>
        <w:tc>
          <w:tcPr>
            <w:tcW w:w="6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sz w:val="18"/>
                <w:szCs w:val="18"/>
              </w:rPr>
            </w:pPr>
            <w:r>
              <w:rPr>
                <w:rFonts w:hint="eastAsia" w:ascii="宋体" w:hAnsi="宋体"/>
                <w:sz w:val="18"/>
                <w:szCs w:val="18"/>
              </w:rPr>
              <w:t>服务方案内容及措施一般，细致程度、针对性、操作性欠佳（0-4）</w:t>
            </w:r>
          </w:p>
        </w:tc>
        <w:tc>
          <w:tcPr>
            <w:tcW w:w="6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hint="eastAsia" w:ascii="宋体" w:hAnsi="宋体"/>
                <w:sz w:val="18"/>
                <w:szCs w:val="18"/>
              </w:rPr>
              <w:t>服务实施进度计划</w:t>
            </w:r>
          </w:p>
        </w:tc>
        <w:tc>
          <w:tcPr>
            <w:tcW w:w="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sz w:val="18"/>
                <w:szCs w:val="18"/>
              </w:rPr>
            </w:pPr>
            <w:r>
              <w:rPr>
                <w:rFonts w:ascii="宋体" w:hAnsi="宋体"/>
                <w:sz w:val="18"/>
                <w:szCs w:val="18"/>
              </w:rPr>
              <w:t>15</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项目实施</w:t>
            </w:r>
            <w:r>
              <w:rPr>
                <w:rFonts w:ascii="宋体" w:hAnsi="宋体" w:cs="宋体"/>
                <w:kern w:val="0"/>
                <w:sz w:val="18"/>
                <w:szCs w:val="18"/>
              </w:rPr>
              <w:t>计划</w:t>
            </w:r>
            <w:r>
              <w:rPr>
                <w:rFonts w:hint="eastAsia" w:ascii="宋体" w:hAnsi="宋体" w:cs="宋体"/>
                <w:kern w:val="0"/>
                <w:sz w:val="18"/>
                <w:szCs w:val="18"/>
              </w:rPr>
              <w:t>科学</w:t>
            </w:r>
            <w:r>
              <w:rPr>
                <w:rFonts w:ascii="宋体" w:hAnsi="宋体" w:cs="宋体"/>
                <w:kern w:val="0"/>
                <w:sz w:val="18"/>
                <w:szCs w:val="18"/>
              </w:rPr>
              <w:t>合理，满足进度要求</w:t>
            </w:r>
            <w:r>
              <w:rPr>
                <w:rFonts w:hint="eastAsia" w:ascii="宋体" w:hAnsi="宋体" w:cs="宋体"/>
                <w:kern w:val="0"/>
                <w:sz w:val="18"/>
                <w:szCs w:val="18"/>
              </w:rPr>
              <w:t>（10</w:t>
            </w:r>
            <w:r>
              <w:rPr>
                <w:rFonts w:ascii="宋体" w:hAnsi="宋体" w:cs="宋体"/>
                <w:kern w:val="0"/>
                <w:sz w:val="18"/>
                <w:szCs w:val="18"/>
              </w:rPr>
              <w:t>-15</w:t>
            </w:r>
            <w:r>
              <w:rPr>
                <w:rFonts w:hint="eastAsia" w:ascii="宋体" w:hAnsi="宋体" w:cs="宋体"/>
                <w:kern w:val="0"/>
                <w:sz w:val="18"/>
                <w:szCs w:val="18"/>
              </w:rPr>
              <w:t>）</w:t>
            </w:r>
          </w:p>
        </w:tc>
        <w:tc>
          <w:tcPr>
            <w:tcW w:w="68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项目实施</w:t>
            </w:r>
            <w:r>
              <w:rPr>
                <w:rFonts w:ascii="宋体" w:hAnsi="宋体" w:cs="宋体"/>
                <w:kern w:val="0"/>
                <w:sz w:val="18"/>
                <w:szCs w:val="18"/>
              </w:rPr>
              <w:t>计划</w:t>
            </w:r>
            <w:r>
              <w:rPr>
                <w:rFonts w:hint="eastAsia" w:ascii="宋体" w:hAnsi="宋体" w:cs="宋体"/>
                <w:kern w:val="0"/>
                <w:sz w:val="18"/>
                <w:szCs w:val="18"/>
              </w:rPr>
              <w:t>较为</w:t>
            </w:r>
            <w:r>
              <w:rPr>
                <w:rFonts w:ascii="宋体" w:hAnsi="宋体" w:cs="宋体"/>
                <w:kern w:val="0"/>
                <w:sz w:val="18"/>
                <w:szCs w:val="18"/>
              </w:rPr>
              <w:t>合理，</w:t>
            </w:r>
            <w:r>
              <w:rPr>
                <w:rFonts w:hint="eastAsia" w:ascii="宋体" w:hAnsi="宋体" w:cs="宋体"/>
                <w:kern w:val="0"/>
                <w:sz w:val="18"/>
                <w:szCs w:val="18"/>
              </w:rPr>
              <w:t>基本</w:t>
            </w:r>
            <w:r>
              <w:rPr>
                <w:rFonts w:ascii="宋体" w:hAnsi="宋体" w:cs="宋体"/>
                <w:kern w:val="0"/>
                <w:sz w:val="18"/>
                <w:szCs w:val="18"/>
              </w:rPr>
              <w:t>满足进度要求</w:t>
            </w:r>
            <w:r>
              <w:rPr>
                <w:rFonts w:hint="eastAsia" w:ascii="宋体" w:hAnsi="宋体" w:cs="宋体"/>
                <w:kern w:val="0"/>
                <w:sz w:val="18"/>
                <w:szCs w:val="18"/>
              </w:rPr>
              <w:t>（5</w:t>
            </w:r>
            <w:r>
              <w:rPr>
                <w:rFonts w:ascii="宋体" w:hAnsi="宋体" w:cs="宋体"/>
                <w:kern w:val="0"/>
                <w:sz w:val="18"/>
                <w:szCs w:val="18"/>
              </w:rPr>
              <w:t>-</w:t>
            </w:r>
            <w:r>
              <w:rPr>
                <w:rFonts w:hint="eastAsia" w:ascii="宋体" w:hAnsi="宋体" w:cs="宋体"/>
                <w:kern w:val="0"/>
                <w:sz w:val="18"/>
                <w:szCs w:val="18"/>
              </w:rPr>
              <w:t>9）</w:t>
            </w:r>
          </w:p>
        </w:tc>
        <w:tc>
          <w:tcPr>
            <w:tcW w:w="6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项目实施</w:t>
            </w:r>
            <w:r>
              <w:rPr>
                <w:rFonts w:ascii="宋体" w:hAnsi="宋体" w:cs="宋体"/>
                <w:kern w:val="0"/>
                <w:sz w:val="18"/>
                <w:szCs w:val="18"/>
              </w:rPr>
              <w:t>计划</w:t>
            </w:r>
            <w:r>
              <w:rPr>
                <w:rFonts w:hint="eastAsia" w:ascii="宋体" w:hAnsi="宋体" w:cs="宋体"/>
                <w:kern w:val="0"/>
                <w:sz w:val="18"/>
                <w:szCs w:val="18"/>
              </w:rPr>
              <w:t>不太</w:t>
            </w:r>
            <w:r>
              <w:rPr>
                <w:rFonts w:ascii="宋体" w:hAnsi="宋体" w:cs="宋体"/>
                <w:kern w:val="0"/>
                <w:sz w:val="18"/>
                <w:szCs w:val="18"/>
              </w:rPr>
              <w:t>合理，</w:t>
            </w:r>
            <w:r>
              <w:rPr>
                <w:rFonts w:hint="eastAsia" w:ascii="宋体" w:hAnsi="宋体" w:cs="宋体"/>
                <w:kern w:val="0"/>
                <w:sz w:val="18"/>
                <w:szCs w:val="18"/>
              </w:rPr>
              <w:t>不能</w:t>
            </w:r>
            <w:r>
              <w:rPr>
                <w:rFonts w:ascii="宋体" w:hAnsi="宋体" w:cs="宋体"/>
                <w:kern w:val="0"/>
                <w:sz w:val="18"/>
                <w:szCs w:val="18"/>
              </w:rPr>
              <w:t>满足进度要求</w:t>
            </w:r>
            <w:r>
              <w:rPr>
                <w:rFonts w:hint="eastAsia" w:ascii="宋体" w:hAnsi="宋体" w:cs="宋体"/>
                <w:kern w:val="0"/>
                <w:sz w:val="18"/>
                <w:szCs w:val="18"/>
              </w:rPr>
              <w:t>（0-4）</w:t>
            </w:r>
          </w:p>
        </w:tc>
        <w:tc>
          <w:tcPr>
            <w:tcW w:w="6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sz w:val="18"/>
                <w:szCs w:val="18"/>
              </w:rPr>
              <w:t>人员组织</w:t>
            </w:r>
          </w:p>
        </w:tc>
        <w:tc>
          <w:tcPr>
            <w:tcW w:w="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15</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项目经理</w:t>
            </w:r>
            <w:r>
              <w:rPr>
                <w:rFonts w:hint="eastAsia" w:ascii="宋体" w:hAnsi="宋体"/>
                <w:sz w:val="18"/>
                <w:szCs w:val="18"/>
              </w:rPr>
              <w:t>具有充分的相关管理经验</w:t>
            </w:r>
            <w:r>
              <w:rPr>
                <w:rFonts w:hint="eastAsia" w:ascii="宋体" w:hAnsi="宋体" w:cs="宋体"/>
                <w:kern w:val="0"/>
                <w:sz w:val="18"/>
                <w:szCs w:val="18"/>
              </w:rPr>
              <w:t>，获得高级项目经理证书或PMP证书资质五年以上得5分，两年以上得2分，不足或没有得0分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技术负责人</w:t>
            </w:r>
            <w:r>
              <w:rPr>
                <w:rFonts w:hint="eastAsia" w:ascii="宋体" w:hAnsi="宋体"/>
                <w:sz w:val="18"/>
                <w:szCs w:val="18"/>
              </w:rPr>
              <w:t>具有充分的相关工作经验</w:t>
            </w:r>
            <w:r>
              <w:rPr>
                <w:rFonts w:hint="eastAsia" w:ascii="宋体" w:hAnsi="宋体" w:cs="宋体"/>
                <w:kern w:val="0"/>
                <w:sz w:val="18"/>
                <w:szCs w:val="18"/>
              </w:rPr>
              <w:t>，具有高级工程师资格五年以上得5分，两年以上得2分，不足或没有得0分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p>
        </w:tc>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项目参与人员安排稳定，分工合理的得5分，一般的得2分，不合理的得0分</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sz w:val="18"/>
                <w:szCs w:val="18"/>
              </w:rPr>
            </w:pPr>
            <w:r>
              <w:rPr>
                <w:rFonts w:hint="eastAsia" w:ascii="宋体" w:hAnsi="宋体"/>
                <w:sz w:val="18"/>
                <w:szCs w:val="18"/>
              </w:rPr>
              <w:t>质量保证和服务承诺</w:t>
            </w:r>
          </w:p>
        </w:tc>
        <w:tc>
          <w:tcPr>
            <w:tcW w:w="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项目质量分解、规划合理，有售后服务承诺，工作方法规范，质量控制手段完善，针对性、可行性强（7</w:t>
            </w:r>
            <w:r>
              <w:rPr>
                <w:rFonts w:ascii="宋体" w:hAnsi="宋体" w:cs="宋体"/>
                <w:kern w:val="0"/>
                <w:sz w:val="18"/>
                <w:szCs w:val="18"/>
              </w:rPr>
              <w:t>-10</w:t>
            </w:r>
            <w:r>
              <w:rPr>
                <w:rFonts w:hint="eastAsia" w:ascii="宋体" w:hAnsi="宋体" w:cs="宋体"/>
                <w:kern w:val="0"/>
                <w:sz w:val="18"/>
                <w:szCs w:val="18"/>
              </w:rPr>
              <w:t>）</w:t>
            </w:r>
          </w:p>
        </w:tc>
        <w:tc>
          <w:tcPr>
            <w:tcW w:w="68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8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989" w:type="dxa"/>
            <w:vMerge w:val="continue"/>
            <w:shd w:val="clear" w:color="auto" w:fill="auto"/>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602" w:type="dxa"/>
            <w:vMerge w:val="continue"/>
            <w:shd w:val="clear" w:color="auto" w:fill="auto"/>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c>
          <w:tcPr>
            <w:tcW w:w="1023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kern w:val="0"/>
                <w:sz w:val="18"/>
                <w:szCs w:val="18"/>
              </w:rPr>
            </w:pPr>
            <w:r>
              <w:rPr>
                <w:rFonts w:hint="eastAsia" w:ascii="宋体" w:hAnsi="宋体" w:cs="宋体"/>
                <w:kern w:val="0"/>
                <w:sz w:val="18"/>
                <w:szCs w:val="18"/>
              </w:rPr>
              <w:t>项目质量满足工作要求，工作方法较为合理，质量保障措施一般（1</w:t>
            </w:r>
            <w:r>
              <w:rPr>
                <w:rFonts w:ascii="宋体" w:hAnsi="宋体" w:cs="宋体"/>
                <w:kern w:val="0"/>
                <w:sz w:val="18"/>
                <w:szCs w:val="18"/>
              </w:rPr>
              <w:t>-</w:t>
            </w:r>
            <w:r>
              <w:rPr>
                <w:rFonts w:hint="eastAsia" w:ascii="宋体" w:hAnsi="宋体" w:cs="宋体"/>
                <w:kern w:val="0"/>
                <w:sz w:val="18"/>
                <w:szCs w:val="18"/>
              </w:rPr>
              <w:t>6）</w:t>
            </w:r>
          </w:p>
        </w:tc>
        <w:tc>
          <w:tcPr>
            <w:tcW w:w="6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bCs/>
                <w:snapToGrid w:val="0"/>
                <w:kern w:val="0"/>
                <w:sz w:val="18"/>
                <w:szCs w:val="18"/>
              </w:rPr>
            </w:pPr>
            <w:r>
              <w:rPr>
                <w:rFonts w:hint="eastAsia" w:ascii="宋体" w:hAnsi="宋体"/>
                <w:b/>
                <w:bCs/>
                <w:snapToGrid w:val="0"/>
                <w:kern w:val="0"/>
                <w:sz w:val="18"/>
                <w:szCs w:val="18"/>
              </w:rPr>
              <w:t>3</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bCs/>
                <w:snapToGrid w:val="0"/>
                <w:kern w:val="0"/>
                <w:sz w:val="18"/>
                <w:szCs w:val="18"/>
              </w:rPr>
            </w:pPr>
            <w:r>
              <w:rPr>
                <w:rFonts w:hint="eastAsia" w:ascii="宋体" w:hAnsi="宋体"/>
                <w:b/>
                <w:bCs/>
                <w:snapToGrid w:val="0"/>
                <w:kern w:val="0"/>
                <w:sz w:val="18"/>
                <w:szCs w:val="18"/>
              </w:rPr>
              <w:t>响应报价（10分）</w:t>
            </w:r>
          </w:p>
        </w:tc>
        <w:tc>
          <w:tcPr>
            <w:tcW w:w="1182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cs="宋体"/>
                <w:kern w:val="0"/>
                <w:sz w:val="18"/>
                <w:szCs w:val="18"/>
              </w:rPr>
            </w:pPr>
            <w:r>
              <w:rPr>
                <w:rFonts w:hint="eastAsia" w:ascii="宋体" w:hAnsi="宋体" w:cs="宋体"/>
                <w:kern w:val="0"/>
                <w:sz w:val="18"/>
                <w:szCs w:val="18"/>
              </w:rPr>
              <w:t>价格分采用低价优先法，即满足采购文件要求且价格最低的报价为基准价，其价格分为满分，其他服务商的价格分统一按下列公式计算：</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cs="宋体"/>
                <w:kern w:val="0"/>
                <w:sz w:val="18"/>
                <w:szCs w:val="18"/>
              </w:rPr>
            </w:pPr>
            <w:r>
              <w:rPr>
                <w:rFonts w:hint="eastAsia" w:ascii="宋体" w:hAnsi="宋体" w:cs="宋体"/>
                <w:kern w:val="0"/>
                <w:sz w:val="18"/>
                <w:szCs w:val="18"/>
              </w:rPr>
              <w:t>响应报价得分=（基准价/响应报价）×10</w:t>
            </w: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bCs/>
                <w:snapToGrid w:val="0"/>
                <w:kern w:val="0"/>
                <w:sz w:val="18"/>
                <w:szCs w:val="18"/>
              </w:rPr>
            </w:pPr>
            <w:r>
              <w:rPr>
                <w:rFonts w:hint="eastAsia" w:ascii="宋体" w:hAnsi="宋体"/>
                <w:b/>
                <w:bCs/>
                <w:snapToGrid w:val="0"/>
                <w:kern w:val="0"/>
                <w:sz w:val="18"/>
                <w:szCs w:val="18"/>
              </w:rPr>
              <w:t>4</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b/>
                <w:bCs/>
                <w:snapToGrid w:val="0"/>
                <w:kern w:val="0"/>
                <w:sz w:val="18"/>
                <w:szCs w:val="18"/>
              </w:rPr>
            </w:pPr>
            <w:r>
              <w:rPr>
                <w:rFonts w:hint="eastAsia" w:ascii="宋体" w:hAnsi="宋体"/>
                <w:b/>
                <w:bCs/>
                <w:snapToGrid w:val="0"/>
                <w:kern w:val="0"/>
                <w:sz w:val="18"/>
                <w:szCs w:val="18"/>
              </w:rPr>
              <w:t>得分合计</w:t>
            </w:r>
          </w:p>
        </w:tc>
        <w:tc>
          <w:tcPr>
            <w:tcW w:w="1182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p>
        </w:tc>
        <w:tc>
          <w:tcPr>
            <w:tcW w:w="688"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宋体" w:hAnsi="宋体" w:cs="宋体"/>
                <w:b/>
                <w:kern w:val="0"/>
                <w:sz w:val="18"/>
                <w:szCs w:val="18"/>
              </w:rPr>
            </w:pPr>
            <w:r>
              <w:rPr>
                <w:rFonts w:hint="eastAsia" w:ascii="宋体" w:hAnsi="宋体" w:cs="宋体"/>
                <w:b/>
                <w:kern w:val="0"/>
                <w:sz w:val="18"/>
                <w:szCs w:val="18"/>
              </w:rPr>
              <w:t>100</w:t>
            </w:r>
          </w:p>
        </w:tc>
      </w:tr>
    </w:tbl>
    <w:p/>
    <w:sectPr>
      <w:footerReference r:id="rId3" w:type="default"/>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17517"/>
    <w:rsid w:val="54A1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2020-07-31T06:27:00Z</dcterms:created>
  <dc:creator>Reignman</dc:creator>
  <cp:lastModifiedBy>Reignman</cp:lastModifiedBy>
  <dcterms:modified xsi:type="dcterms:W3CDTF">2020-07-31T06:28:31Z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