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1C8A6">
      <w:pPr>
        <w:pStyle w:val="5"/>
        <w:keepNext w:val="0"/>
        <w:keepLines w:val="0"/>
        <w:widowControl/>
        <w:suppressLineNumbers w:val="0"/>
        <w:spacing w:after="210" w:afterAutospacing="0" w:line="315" w:lineRule="atLeast"/>
        <w:ind w:left="0" w:firstLine="420"/>
        <w:rPr>
          <w:rFonts w:hint="eastAsia" w:ascii="宋体" w:hAnsi="宋体" w:eastAsia="宋体" w:cs="宋体"/>
          <w:sz w:val="18"/>
          <w:szCs w:val="18"/>
        </w:rPr>
      </w:pPr>
      <w:bookmarkStart w:id="0" w:name="_GoBack"/>
      <w:r>
        <w:rPr>
          <w:rFonts w:hint="eastAsia" w:ascii="宋体" w:hAnsi="宋体" w:eastAsia="宋体" w:cs="宋体"/>
          <w:sz w:val="18"/>
          <w:szCs w:val="18"/>
          <w:bdr w:val="none" w:color="auto" w:sz="0" w:space="0"/>
        </w:rPr>
        <w:t>人民法院诉讼服务中心无障碍环境建设规范</w:t>
      </w:r>
    </w:p>
    <w:bookmarkEnd w:id="0"/>
    <w:p w14:paraId="18C6896D">
      <w:pPr>
        <w:pStyle w:val="5"/>
        <w:keepNext w:val="0"/>
        <w:keepLines w:val="0"/>
        <w:widowControl/>
        <w:suppressLineNumbers w:val="0"/>
        <w:spacing w:after="210" w:afterAutospacing="0" w:line="315" w:lineRule="atLeast"/>
        <w:ind w:left="0" w:firstLine="420"/>
        <w:rPr>
          <w:rFonts w:hint="eastAsia" w:ascii="宋体" w:hAnsi="宋体" w:eastAsia="宋体" w:cs="宋体"/>
          <w:sz w:val="18"/>
          <w:szCs w:val="18"/>
        </w:rPr>
      </w:pPr>
      <w:r>
        <w:rPr>
          <w:rFonts w:hint="default" w:ascii="Times New Roman" w:hAnsi="Times New Roman" w:eastAsia="宋体" w:cs="Times New Roman"/>
          <w:sz w:val="18"/>
          <w:szCs w:val="18"/>
          <w:bdr w:val="none" w:color="auto" w:sz="0" w:space="0"/>
        </w:rPr>
        <w:t>1</w:t>
      </w:r>
      <w:r>
        <w:rPr>
          <w:rFonts w:hint="eastAsia" w:ascii="宋体" w:hAnsi="宋体" w:eastAsia="宋体" w:cs="宋体"/>
          <w:sz w:val="18"/>
          <w:szCs w:val="18"/>
          <w:bdr w:val="none" w:color="auto" w:sz="0" w:space="0"/>
        </w:rPr>
        <w:t>.目的</w:t>
      </w:r>
    </w:p>
    <w:p w14:paraId="19DFC166">
      <w:pPr>
        <w:pStyle w:val="5"/>
        <w:keepNext w:val="0"/>
        <w:keepLines w:val="0"/>
        <w:widowControl/>
        <w:suppressLineNumbers w:val="0"/>
        <w:spacing w:after="210" w:afterAutospacing="0" w:line="315" w:lineRule="atLeast"/>
        <w:ind w:left="0" w:firstLine="420"/>
        <w:rPr>
          <w:rFonts w:hint="eastAsia" w:ascii="宋体" w:hAnsi="宋体" w:eastAsia="宋体" w:cs="宋体"/>
          <w:sz w:val="18"/>
          <w:szCs w:val="18"/>
        </w:rPr>
      </w:pPr>
      <w:r>
        <w:rPr>
          <w:rFonts w:hint="eastAsia" w:ascii="宋体" w:hAnsi="宋体" w:eastAsia="宋体" w:cs="宋体"/>
          <w:sz w:val="18"/>
          <w:szCs w:val="18"/>
          <w:bdr w:val="none" w:color="auto" w:sz="0" w:space="0"/>
        </w:rPr>
        <w:t>为推动全国法院诉讼服务中心无障碍环境建设规范化、标准化、人性化，全面提升人民法院诉讼服务中心无障碍环境建设水平，制定本规范。</w:t>
      </w:r>
    </w:p>
    <w:p w14:paraId="2C2433F9">
      <w:pPr>
        <w:pStyle w:val="5"/>
        <w:keepNext w:val="0"/>
        <w:keepLines w:val="0"/>
        <w:widowControl/>
        <w:suppressLineNumbers w:val="0"/>
        <w:spacing w:after="210" w:afterAutospacing="0" w:line="315" w:lineRule="atLeast"/>
        <w:ind w:left="0" w:firstLine="420"/>
        <w:rPr>
          <w:rFonts w:hint="eastAsia" w:ascii="宋体" w:hAnsi="宋体" w:eastAsia="宋体" w:cs="宋体"/>
          <w:sz w:val="18"/>
          <w:szCs w:val="18"/>
        </w:rPr>
      </w:pPr>
      <w:r>
        <w:rPr>
          <w:rFonts w:hint="default" w:ascii="Times New Roman" w:hAnsi="Times New Roman" w:eastAsia="宋体" w:cs="Times New Roman"/>
          <w:sz w:val="18"/>
          <w:szCs w:val="18"/>
          <w:bdr w:val="none" w:color="auto" w:sz="0" w:space="0"/>
        </w:rPr>
        <w:t>2</w:t>
      </w:r>
      <w:r>
        <w:rPr>
          <w:rFonts w:hint="eastAsia" w:ascii="宋体" w:hAnsi="宋体" w:eastAsia="宋体" w:cs="宋体"/>
          <w:sz w:val="18"/>
          <w:szCs w:val="18"/>
          <w:bdr w:val="none" w:color="auto" w:sz="0" w:space="0"/>
        </w:rPr>
        <w:t>.定义</w:t>
      </w:r>
    </w:p>
    <w:p w14:paraId="7AF4A5E1">
      <w:pPr>
        <w:pStyle w:val="5"/>
        <w:keepNext w:val="0"/>
        <w:keepLines w:val="0"/>
        <w:widowControl/>
        <w:suppressLineNumbers w:val="0"/>
        <w:spacing w:after="210" w:afterAutospacing="0" w:line="315" w:lineRule="atLeast"/>
        <w:ind w:left="0" w:firstLine="420"/>
        <w:rPr>
          <w:rFonts w:hint="eastAsia" w:ascii="宋体" w:hAnsi="宋体" w:eastAsia="宋体" w:cs="宋体"/>
          <w:sz w:val="18"/>
          <w:szCs w:val="18"/>
        </w:rPr>
      </w:pPr>
      <w:r>
        <w:rPr>
          <w:rFonts w:hint="eastAsia" w:ascii="宋体" w:hAnsi="宋体" w:eastAsia="宋体" w:cs="宋体"/>
          <w:sz w:val="18"/>
          <w:szCs w:val="18"/>
          <w:bdr w:val="none" w:color="auto" w:sz="0" w:space="0"/>
        </w:rPr>
        <w:t>诉讼服务中心无障碍环境建设是指人民法院为残疾人、老年人等群体在诉讼服务中心自主安全地出入、通行，使用附属设施，获取、使用、交流信息，获得诉讼服务提供便利。</w:t>
      </w:r>
    </w:p>
    <w:p w14:paraId="46489B57">
      <w:pPr>
        <w:pStyle w:val="5"/>
        <w:keepNext w:val="0"/>
        <w:keepLines w:val="0"/>
        <w:widowControl/>
        <w:suppressLineNumbers w:val="0"/>
        <w:spacing w:after="210" w:afterAutospacing="0" w:line="315" w:lineRule="atLeast"/>
        <w:ind w:left="0" w:firstLine="420"/>
        <w:rPr>
          <w:rFonts w:hint="eastAsia" w:ascii="宋体" w:hAnsi="宋体" w:eastAsia="宋体" w:cs="宋体"/>
          <w:sz w:val="18"/>
          <w:szCs w:val="18"/>
        </w:rPr>
      </w:pPr>
      <w:r>
        <w:rPr>
          <w:rFonts w:hint="default" w:ascii="Times New Roman" w:hAnsi="Times New Roman" w:eastAsia="宋体" w:cs="Times New Roman"/>
          <w:sz w:val="18"/>
          <w:szCs w:val="18"/>
          <w:bdr w:val="none" w:color="auto" w:sz="0" w:space="0"/>
        </w:rPr>
        <w:t>3</w:t>
      </w:r>
      <w:r>
        <w:rPr>
          <w:rFonts w:hint="eastAsia" w:ascii="宋体" w:hAnsi="宋体" w:eastAsia="宋体" w:cs="宋体"/>
          <w:sz w:val="18"/>
          <w:szCs w:val="18"/>
          <w:bdr w:val="none" w:color="auto" w:sz="0" w:space="0"/>
        </w:rPr>
        <w:t>.适用范围</w:t>
      </w:r>
    </w:p>
    <w:p w14:paraId="25173A86">
      <w:pPr>
        <w:pStyle w:val="5"/>
        <w:keepNext w:val="0"/>
        <w:keepLines w:val="0"/>
        <w:widowControl/>
        <w:suppressLineNumbers w:val="0"/>
        <w:spacing w:after="210" w:afterAutospacing="0" w:line="315" w:lineRule="atLeast"/>
        <w:ind w:left="0" w:firstLine="420"/>
        <w:rPr>
          <w:rFonts w:hint="eastAsia" w:ascii="宋体" w:hAnsi="宋体" w:eastAsia="宋体" w:cs="宋体"/>
          <w:sz w:val="18"/>
          <w:szCs w:val="18"/>
        </w:rPr>
      </w:pPr>
      <w:r>
        <w:rPr>
          <w:rFonts w:hint="eastAsia" w:ascii="宋体" w:hAnsi="宋体" w:eastAsia="宋体" w:cs="宋体"/>
          <w:sz w:val="18"/>
          <w:szCs w:val="18"/>
          <w:bdr w:val="none" w:color="auto" w:sz="0" w:space="0"/>
        </w:rPr>
        <w:t>本规范为全国法院诉讼服务中心开展无障碍环境建设的统一规范，适用于人民法院诉讼服务中心新建、改建、扩建工程。</w:t>
      </w:r>
    </w:p>
    <w:p w14:paraId="3F1435A3">
      <w:pPr>
        <w:pStyle w:val="5"/>
        <w:keepNext w:val="0"/>
        <w:keepLines w:val="0"/>
        <w:widowControl/>
        <w:suppressLineNumbers w:val="0"/>
        <w:spacing w:after="210" w:afterAutospacing="0" w:line="315" w:lineRule="atLeast"/>
        <w:ind w:left="0" w:firstLine="420"/>
        <w:rPr>
          <w:rFonts w:hint="eastAsia" w:ascii="宋体" w:hAnsi="宋体" w:eastAsia="宋体" w:cs="宋体"/>
          <w:sz w:val="18"/>
          <w:szCs w:val="18"/>
        </w:rPr>
      </w:pPr>
      <w:r>
        <w:rPr>
          <w:rFonts w:hint="eastAsia" w:ascii="宋体" w:hAnsi="宋体" w:eastAsia="宋体" w:cs="宋体"/>
          <w:sz w:val="18"/>
          <w:szCs w:val="18"/>
          <w:bdr w:val="none" w:color="auto" w:sz="0" w:space="0"/>
        </w:rPr>
        <w:t>对既有诉讼服务场所的改造应当参照本规范执行。</w:t>
      </w:r>
    </w:p>
    <w:p w14:paraId="3474B092">
      <w:pPr>
        <w:pStyle w:val="5"/>
        <w:keepNext w:val="0"/>
        <w:keepLines w:val="0"/>
        <w:widowControl/>
        <w:suppressLineNumbers w:val="0"/>
        <w:spacing w:after="210" w:afterAutospacing="0" w:line="315" w:lineRule="atLeast"/>
        <w:ind w:left="0" w:firstLine="420"/>
        <w:rPr>
          <w:rFonts w:hint="eastAsia" w:ascii="宋体" w:hAnsi="宋体" w:eastAsia="宋体" w:cs="宋体"/>
          <w:sz w:val="18"/>
          <w:szCs w:val="18"/>
        </w:rPr>
      </w:pPr>
      <w:r>
        <w:rPr>
          <w:rFonts w:hint="default" w:ascii="Times New Roman" w:hAnsi="Times New Roman" w:eastAsia="宋体" w:cs="Times New Roman"/>
          <w:sz w:val="18"/>
          <w:szCs w:val="18"/>
          <w:bdr w:val="none" w:color="auto" w:sz="0" w:space="0"/>
        </w:rPr>
        <w:t>4</w:t>
      </w:r>
      <w:r>
        <w:rPr>
          <w:rFonts w:hint="eastAsia" w:ascii="宋体" w:hAnsi="宋体" w:eastAsia="宋体" w:cs="宋体"/>
          <w:sz w:val="18"/>
          <w:szCs w:val="18"/>
          <w:bdr w:val="none" w:color="auto" w:sz="0" w:space="0"/>
        </w:rPr>
        <w:t>.规范性文件引用</w:t>
      </w:r>
    </w:p>
    <w:p w14:paraId="2ED75694">
      <w:pPr>
        <w:pStyle w:val="5"/>
        <w:keepNext w:val="0"/>
        <w:keepLines w:val="0"/>
        <w:widowControl/>
        <w:suppressLineNumbers w:val="0"/>
        <w:spacing w:after="210" w:afterAutospacing="0" w:line="315" w:lineRule="atLeast"/>
        <w:ind w:left="0" w:firstLine="420"/>
        <w:rPr>
          <w:rFonts w:hint="eastAsia" w:ascii="宋体" w:hAnsi="宋体" w:eastAsia="宋体" w:cs="宋体"/>
          <w:sz w:val="18"/>
          <w:szCs w:val="18"/>
        </w:rPr>
      </w:pPr>
      <w:r>
        <w:rPr>
          <w:rFonts w:hint="eastAsia" w:ascii="宋体" w:hAnsi="宋体" w:eastAsia="宋体" w:cs="宋体"/>
          <w:sz w:val="18"/>
          <w:szCs w:val="18"/>
          <w:bdr w:val="none" w:color="auto" w:sz="0" w:space="0"/>
        </w:rPr>
        <w:t>《中华人民共和国无障碍环境建设法》</w:t>
      </w:r>
    </w:p>
    <w:p w14:paraId="135D4B75">
      <w:pPr>
        <w:pStyle w:val="5"/>
        <w:keepNext w:val="0"/>
        <w:keepLines w:val="0"/>
        <w:widowControl/>
        <w:suppressLineNumbers w:val="0"/>
        <w:spacing w:after="210" w:afterAutospacing="0" w:line="315" w:lineRule="atLeast"/>
        <w:ind w:left="0" w:firstLine="420"/>
        <w:rPr>
          <w:rFonts w:hint="eastAsia" w:ascii="宋体" w:hAnsi="宋体" w:eastAsia="宋体" w:cs="宋体"/>
          <w:sz w:val="18"/>
          <w:szCs w:val="18"/>
        </w:rPr>
      </w:pPr>
      <w:r>
        <w:rPr>
          <w:rFonts w:hint="eastAsia" w:ascii="宋体" w:hAnsi="宋体" w:eastAsia="宋体" w:cs="宋体"/>
          <w:sz w:val="18"/>
          <w:szCs w:val="18"/>
          <w:bdr w:val="none" w:color="auto" w:sz="0" w:space="0"/>
        </w:rPr>
        <w:t>《无障碍环境建设条例》</w:t>
      </w:r>
    </w:p>
    <w:p w14:paraId="72C0E704">
      <w:pPr>
        <w:pStyle w:val="5"/>
        <w:keepNext w:val="0"/>
        <w:keepLines w:val="0"/>
        <w:widowControl/>
        <w:suppressLineNumbers w:val="0"/>
        <w:spacing w:after="210" w:afterAutospacing="0" w:line="315" w:lineRule="atLeast"/>
        <w:ind w:left="0" w:firstLine="420"/>
        <w:rPr>
          <w:rFonts w:hint="eastAsia" w:ascii="宋体" w:hAnsi="宋体" w:eastAsia="宋体" w:cs="宋体"/>
          <w:sz w:val="18"/>
          <w:szCs w:val="18"/>
        </w:rPr>
      </w:pPr>
      <w:r>
        <w:rPr>
          <w:rFonts w:hint="eastAsia" w:ascii="宋体" w:hAnsi="宋体" w:eastAsia="宋体" w:cs="宋体"/>
          <w:sz w:val="18"/>
          <w:szCs w:val="18"/>
          <w:bdr w:val="none" w:color="auto" w:sz="0" w:space="0"/>
        </w:rPr>
        <w:t>《最高人民法院、中国残疾人联合会关于在审判执行工作中切实维护残疾人合法权益的意见》</w:t>
      </w:r>
    </w:p>
    <w:p w14:paraId="7E21F7EB">
      <w:pPr>
        <w:pStyle w:val="5"/>
        <w:keepNext w:val="0"/>
        <w:keepLines w:val="0"/>
        <w:widowControl/>
        <w:suppressLineNumbers w:val="0"/>
        <w:spacing w:after="210" w:afterAutospacing="0" w:line="315" w:lineRule="atLeast"/>
        <w:ind w:left="0" w:firstLine="420"/>
        <w:rPr>
          <w:rFonts w:hint="eastAsia" w:ascii="宋体" w:hAnsi="宋体" w:eastAsia="宋体" w:cs="宋体"/>
          <w:sz w:val="18"/>
          <w:szCs w:val="18"/>
        </w:rPr>
      </w:pPr>
      <w:r>
        <w:rPr>
          <w:rFonts w:hint="eastAsia" w:ascii="宋体" w:hAnsi="宋体" w:eastAsia="宋体" w:cs="宋体"/>
          <w:sz w:val="18"/>
          <w:szCs w:val="18"/>
          <w:bdr w:val="none" w:color="auto" w:sz="0" w:space="0"/>
        </w:rPr>
        <w:t>《最高人民法院、最高人民检察院、公安部、司法部、中国残疾人联合会关于深入学习贯彻习近平法治思想切实加强残疾人司法保护的意见》</w:t>
      </w:r>
    </w:p>
    <w:p w14:paraId="223F45D1">
      <w:pPr>
        <w:pStyle w:val="5"/>
        <w:keepNext w:val="0"/>
        <w:keepLines w:val="0"/>
        <w:widowControl/>
        <w:suppressLineNumbers w:val="0"/>
        <w:spacing w:after="210" w:afterAutospacing="0" w:line="315" w:lineRule="atLeast"/>
        <w:ind w:left="0" w:firstLine="420"/>
        <w:rPr>
          <w:rFonts w:hint="eastAsia" w:ascii="宋体" w:hAnsi="宋体" w:eastAsia="宋体" w:cs="宋体"/>
          <w:sz w:val="18"/>
          <w:szCs w:val="18"/>
        </w:rPr>
      </w:pPr>
      <w:r>
        <w:rPr>
          <w:rFonts w:hint="default" w:ascii="Times New Roman" w:hAnsi="Times New Roman" w:eastAsia="宋体" w:cs="Times New Roman"/>
          <w:sz w:val="18"/>
          <w:szCs w:val="18"/>
          <w:bdr w:val="none" w:color="auto" w:sz="0" w:space="0"/>
        </w:rPr>
        <w:t>5</w:t>
      </w:r>
      <w:r>
        <w:rPr>
          <w:rFonts w:hint="eastAsia" w:ascii="宋体" w:hAnsi="宋体" w:eastAsia="宋体" w:cs="宋体"/>
          <w:sz w:val="18"/>
          <w:szCs w:val="18"/>
          <w:bdr w:val="none" w:color="auto" w:sz="0" w:space="0"/>
        </w:rPr>
        <w:t>.建设原则</w:t>
      </w:r>
    </w:p>
    <w:p w14:paraId="4C012A31">
      <w:pPr>
        <w:pStyle w:val="5"/>
        <w:keepNext w:val="0"/>
        <w:keepLines w:val="0"/>
        <w:widowControl/>
        <w:suppressLineNumbers w:val="0"/>
        <w:spacing w:after="210" w:afterAutospacing="0" w:line="315" w:lineRule="atLeast"/>
        <w:ind w:left="0" w:firstLine="420"/>
        <w:rPr>
          <w:rFonts w:hint="eastAsia" w:ascii="宋体" w:hAnsi="宋体" w:eastAsia="宋体" w:cs="宋体"/>
          <w:sz w:val="18"/>
          <w:szCs w:val="18"/>
        </w:rPr>
      </w:pPr>
      <w:r>
        <w:rPr>
          <w:rFonts w:hint="eastAsia" w:ascii="宋体" w:hAnsi="宋体" w:eastAsia="宋体" w:cs="宋体"/>
          <w:sz w:val="18"/>
          <w:szCs w:val="18"/>
          <w:bdr w:val="none" w:color="auto" w:sz="0" w:space="0"/>
        </w:rPr>
        <w:t>人民法院诉讼服务中心无障碍环境建设，应当以符合残疾人诉讼服务需求为原则，坚持从实际出发，做到因地制宜、功能适用。</w:t>
      </w:r>
    </w:p>
    <w:p w14:paraId="68A537DA">
      <w:pPr>
        <w:pStyle w:val="5"/>
        <w:keepNext w:val="0"/>
        <w:keepLines w:val="0"/>
        <w:widowControl/>
        <w:suppressLineNumbers w:val="0"/>
        <w:spacing w:after="210" w:afterAutospacing="0" w:line="315" w:lineRule="atLeast"/>
        <w:ind w:left="0" w:firstLine="420"/>
        <w:rPr>
          <w:rFonts w:hint="eastAsia" w:ascii="宋体" w:hAnsi="宋体" w:eastAsia="宋体" w:cs="宋体"/>
          <w:sz w:val="18"/>
          <w:szCs w:val="18"/>
        </w:rPr>
      </w:pPr>
      <w:r>
        <w:rPr>
          <w:rFonts w:hint="default" w:ascii="Times New Roman" w:hAnsi="Times New Roman" w:eastAsia="宋体" w:cs="Times New Roman"/>
          <w:sz w:val="18"/>
          <w:szCs w:val="18"/>
          <w:bdr w:val="none" w:color="auto" w:sz="0" w:space="0"/>
        </w:rPr>
        <w:t>6</w:t>
      </w:r>
      <w:r>
        <w:rPr>
          <w:rFonts w:hint="eastAsia" w:ascii="宋体" w:hAnsi="宋体" w:eastAsia="宋体" w:cs="宋体"/>
          <w:sz w:val="18"/>
          <w:szCs w:val="18"/>
          <w:bdr w:val="none" w:color="auto" w:sz="0" w:space="0"/>
        </w:rPr>
        <w:t>.无障碍通行设施</w:t>
      </w:r>
    </w:p>
    <w:p w14:paraId="6CFE8E88">
      <w:pPr>
        <w:pStyle w:val="5"/>
        <w:keepNext w:val="0"/>
        <w:keepLines w:val="0"/>
        <w:widowControl/>
        <w:suppressLineNumbers w:val="0"/>
        <w:spacing w:after="210" w:afterAutospacing="0" w:line="315" w:lineRule="atLeast"/>
        <w:ind w:left="0" w:firstLine="420"/>
        <w:rPr>
          <w:rFonts w:hint="eastAsia" w:ascii="宋体" w:hAnsi="宋体" w:eastAsia="宋体" w:cs="宋体"/>
          <w:sz w:val="18"/>
          <w:szCs w:val="18"/>
        </w:rPr>
      </w:pPr>
      <w:r>
        <w:rPr>
          <w:rFonts w:hint="eastAsia" w:ascii="宋体" w:hAnsi="宋体" w:eastAsia="宋体" w:cs="宋体"/>
          <w:sz w:val="18"/>
          <w:szCs w:val="18"/>
          <w:bdr w:val="none" w:color="auto" w:sz="0" w:space="0"/>
        </w:rPr>
        <w:t>诉讼服务中心应当设置以下无障碍通行设施：</w:t>
      </w:r>
    </w:p>
    <w:p w14:paraId="7E342801">
      <w:pPr>
        <w:pStyle w:val="5"/>
        <w:keepNext w:val="0"/>
        <w:keepLines w:val="0"/>
        <w:widowControl/>
        <w:suppressLineNumbers w:val="0"/>
        <w:spacing w:after="210" w:afterAutospacing="0" w:line="315" w:lineRule="atLeast"/>
        <w:ind w:left="0" w:firstLine="420"/>
        <w:rPr>
          <w:rFonts w:hint="eastAsia" w:ascii="宋体" w:hAnsi="宋体" w:eastAsia="宋体" w:cs="宋体"/>
          <w:sz w:val="18"/>
          <w:szCs w:val="18"/>
        </w:rPr>
      </w:pPr>
      <w:r>
        <w:rPr>
          <w:rFonts w:hint="eastAsia" w:ascii="宋体" w:hAnsi="宋体" w:eastAsia="宋体" w:cs="宋体"/>
          <w:sz w:val="18"/>
          <w:szCs w:val="18"/>
          <w:bdr w:val="none" w:color="auto" w:sz="0" w:space="0"/>
        </w:rPr>
        <w:t>（</w:t>
      </w:r>
      <w:r>
        <w:rPr>
          <w:rFonts w:hint="default" w:ascii="Times New Roman" w:hAnsi="Times New Roman" w:eastAsia="宋体" w:cs="Times New Roman"/>
          <w:sz w:val="18"/>
          <w:szCs w:val="18"/>
          <w:bdr w:val="none" w:color="auto" w:sz="0" w:space="0"/>
        </w:rPr>
        <w:t>1</w:t>
      </w:r>
      <w:r>
        <w:rPr>
          <w:rFonts w:hint="eastAsia" w:ascii="宋体" w:hAnsi="宋体" w:eastAsia="宋体" w:cs="宋体"/>
          <w:sz w:val="18"/>
          <w:szCs w:val="18"/>
          <w:bdr w:val="none" w:color="auto" w:sz="0" w:space="0"/>
        </w:rPr>
        <w:t>）诉讼服务中心应当设置无障碍出入口、无障碍通道，方便残疾人出入，无障碍通道有地面高差时，应当设置轮椅坡道或缘石坡道；</w:t>
      </w:r>
    </w:p>
    <w:p w14:paraId="5795B044">
      <w:pPr>
        <w:pStyle w:val="5"/>
        <w:keepNext w:val="0"/>
        <w:keepLines w:val="0"/>
        <w:widowControl/>
        <w:suppressLineNumbers w:val="0"/>
        <w:spacing w:after="210" w:afterAutospacing="0" w:line="315" w:lineRule="atLeast"/>
        <w:ind w:left="0" w:firstLine="420"/>
        <w:rPr>
          <w:rFonts w:hint="eastAsia" w:ascii="宋体" w:hAnsi="宋体" w:eastAsia="宋体" w:cs="宋体"/>
          <w:sz w:val="18"/>
          <w:szCs w:val="18"/>
        </w:rPr>
      </w:pPr>
      <w:r>
        <w:rPr>
          <w:rFonts w:hint="eastAsia" w:ascii="宋体" w:hAnsi="宋体" w:eastAsia="宋体" w:cs="宋体"/>
          <w:sz w:val="18"/>
          <w:szCs w:val="18"/>
          <w:bdr w:val="none" w:color="auto" w:sz="0" w:space="0"/>
        </w:rPr>
        <w:t>（</w:t>
      </w:r>
      <w:r>
        <w:rPr>
          <w:rFonts w:hint="default" w:ascii="Times New Roman" w:hAnsi="Times New Roman" w:eastAsia="宋体" w:cs="Times New Roman"/>
          <w:sz w:val="18"/>
          <w:szCs w:val="18"/>
          <w:bdr w:val="none" w:color="auto" w:sz="0" w:space="0"/>
        </w:rPr>
        <w:t>2</w:t>
      </w:r>
      <w:r>
        <w:rPr>
          <w:rFonts w:hint="eastAsia" w:ascii="宋体" w:hAnsi="宋体" w:eastAsia="宋体" w:cs="宋体"/>
          <w:sz w:val="18"/>
          <w:szCs w:val="18"/>
          <w:bdr w:val="none" w:color="auto" w:sz="0" w:space="0"/>
        </w:rPr>
        <w:t>）诉讼服务中心在建筑物二层以上的，应当设置无障碍楼梯或者无障碍电梯；</w:t>
      </w:r>
    </w:p>
    <w:p w14:paraId="66550711">
      <w:pPr>
        <w:pStyle w:val="5"/>
        <w:keepNext w:val="0"/>
        <w:keepLines w:val="0"/>
        <w:widowControl/>
        <w:suppressLineNumbers w:val="0"/>
        <w:spacing w:after="210" w:afterAutospacing="0" w:line="315" w:lineRule="atLeast"/>
        <w:ind w:left="0" w:firstLine="420"/>
        <w:rPr>
          <w:rFonts w:hint="eastAsia" w:ascii="宋体" w:hAnsi="宋体" w:eastAsia="宋体" w:cs="宋体"/>
          <w:sz w:val="18"/>
          <w:szCs w:val="18"/>
        </w:rPr>
      </w:pPr>
      <w:r>
        <w:rPr>
          <w:rFonts w:hint="eastAsia" w:ascii="宋体" w:hAnsi="宋体" w:eastAsia="宋体" w:cs="宋体"/>
          <w:sz w:val="18"/>
          <w:szCs w:val="18"/>
          <w:bdr w:val="none" w:color="auto" w:sz="0" w:space="0"/>
        </w:rPr>
        <w:t>（</w:t>
      </w:r>
      <w:r>
        <w:rPr>
          <w:rFonts w:hint="default" w:ascii="Times New Roman" w:hAnsi="Times New Roman" w:eastAsia="宋体" w:cs="Times New Roman"/>
          <w:sz w:val="18"/>
          <w:szCs w:val="18"/>
          <w:bdr w:val="none" w:color="auto" w:sz="0" w:space="0"/>
        </w:rPr>
        <w:t>3</w:t>
      </w:r>
      <w:r>
        <w:rPr>
          <w:rFonts w:hint="eastAsia" w:ascii="宋体" w:hAnsi="宋体" w:eastAsia="宋体" w:cs="宋体"/>
          <w:sz w:val="18"/>
          <w:szCs w:val="18"/>
          <w:bdr w:val="none" w:color="auto" w:sz="0" w:space="0"/>
        </w:rPr>
        <w:t>）诉讼服务中心出入口建有公共盲道的，应当设置室外盲道，室外盲道应当与公共盲道相连接；</w:t>
      </w:r>
    </w:p>
    <w:p w14:paraId="350E3C41">
      <w:pPr>
        <w:pStyle w:val="5"/>
        <w:keepNext w:val="0"/>
        <w:keepLines w:val="0"/>
        <w:widowControl/>
        <w:suppressLineNumbers w:val="0"/>
        <w:spacing w:after="210" w:afterAutospacing="0" w:line="315" w:lineRule="atLeast"/>
        <w:ind w:left="0" w:firstLine="420"/>
        <w:rPr>
          <w:rFonts w:hint="eastAsia" w:ascii="宋体" w:hAnsi="宋体" w:eastAsia="宋体" w:cs="宋体"/>
          <w:sz w:val="18"/>
          <w:szCs w:val="18"/>
        </w:rPr>
      </w:pPr>
      <w:r>
        <w:rPr>
          <w:rFonts w:hint="eastAsia" w:ascii="宋体" w:hAnsi="宋体" w:eastAsia="宋体" w:cs="宋体"/>
          <w:sz w:val="18"/>
          <w:szCs w:val="18"/>
          <w:bdr w:val="none" w:color="auto" w:sz="0" w:space="0"/>
        </w:rPr>
        <w:t>（</w:t>
      </w:r>
      <w:r>
        <w:rPr>
          <w:rFonts w:hint="default" w:ascii="Times New Roman" w:hAnsi="Times New Roman" w:eastAsia="宋体" w:cs="Times New Roman"/>
          <w:sz w:val="18"/>
          <w:szCs w:val="18"/>
          <w:bdr w:val="none" w:color="auto" w:sz="0" w:space="0"/>
        </w:rPr>
        <w:t>4</w:t>
      </w:r>
      <w:r>
        <w:rPr>
          <w:rFonts w:hint="eastAsia" w:ascii="宋体" w:hAnsi="宋体" w:eastAsia="宋体" w:cs="宋体"/>
          <w:sz w:val="18"/>
          <w:szCs w:val="18"/>
          <w:bdr w:val="none" w:color="auto" w:sz="0" w:space="0"/>
        </w:rPr>
        <w:t>）诉讼服务中心建有停车场的，应当设置至少一个无障碍机动车停车位。</w:t>
      </w:r>
    </w:p>
    <w:p w14:paraId="12720FBE">
      <w:pPr>
        <w:pStyle w:val="5"/>
        <w:keepNext w:val="0"/>
        <w:keepLines w:val="0"/>
        <w:widowControl/>
        <w:suppressLineNumbers w:val="0"/>
        <w:spacing w:after="210" w:afterAutospacing="0" w:line="315" w:lineRule="atLeast"/>
        <w:ind w:left="0" w:firstLine="420"/>
        <w:rPr>
          <w:rFonts w:hint="eastAsia" w:ascii="宋体" w:hAnsi="宋体" w:eastAsia="宋体" w:cs="宋体"/>
          <w:sz w:val="18"/>
          <w:szCs w:val="18"/>
        </w:rPr>
      </w:pPr>
      <w:r>
        <w:rPr>
          <w:rFonts w:hint="default" w:ascii="Times New Roman" w:hAnsi="Times New Roman" w:eastAsia="宋体" w:cs="Times New Roman"/>
          <w:sz w:val="18"/>
          <w:szCs w:val="18"/>
          <w:bdr w:val="none" w:color="auto" w:sz="0" w:space="0"/>
        </w:rPr>
        <w:t>7</w:t>
      </w:r>
      <w:r>
        <w:rPr>
          <w:rFonts w:hint="eastAsia" w:ascii="宋体" w:hAnsi="宋体" w:eastAsia="宋体" w:cs="宋体"/>
          <w:sz w:val="18"/>
          <w:szCs w:val="18"/>
          <w:bdr w:val="none" w:color="auto" w:sz="0" w:space="0"/>
        </w:rPr>
        <w:t>.无障碍服务设施</w:t>
      </w:r>
    </w:p>
    <w:p w14:paraId="1C605DE5">
      <w:pPr>
        <w:pStyle w:val="5"/>
        <w:keepNext w:val="0"/>
        <w:keepLines w:val="0"/>
        <w:widowControl/>
        <w:suppressLineNumbers w:val="0"/>
        <w:spacing w:after="210" w:afterAutospacing="0" w:line="315" w:lineRule="atLeast"/>
        <w:ind w:left="0" w:firstLine="420"/>
        <w:rPr>
          <w:rFonts w:hint="eastAsia" w:ascii="宋体" w:hAnsi="宋体" w:eastAsia="宋体" w:cs="宋体"/>
          <w:sz w:val="18"/>
          <w:szCs w:val="18"/>
        </w:rPr>
      </w:pPr>
      <w:r>
        <w:rPr>
          <w:rFonts w:hint="eastAsia" w:ascii="宋体" w:hAnsi="宋体" w:eastAsia="宋体" w:cs="宋体"/>
          <w:sz w:val="18"/>
          <w:szCs w:val="18"/>
          <w:bdr w:val="none" w:color="auto" w:sz="0" w:space="0"/>
        </w:rPr>
        <w:t>诉讼服务中心应当设置以下无障碍服务设施：</w:t>
      </w:r>
    </w:p>
    <w:p w14:paraId="1AAD143F">
      <w:pPr>
        <w:pStyle w:val="5"/>
        <w:keepNext w:val="0"/>
        <w:keepLines w:val="0"/>
        <w:widowControl/>
        <w:suppressLineNumbers w:val="0"/>
        <w:spacing w:after="210" w:afterAutospacing="0" w:line="315" w:lineRule="atLeast"/>
        <w:ind w:left="0" w:firstLine="420"/>
        <w:rPr>
          <w:rFonts w:hint="eastAsia" w:ascii="宋体" w:hAnsi="宋体" w:eastAsia="宋体" w:cs="宋体"/>
          <w:sz w:val="18"/>
          <w:szCs w:val="18"/>
        </w:rPr>
      </w:pPr>
      <w:r>
        <w:rPr>
          <w:rFonts w:hint="eastAsia" w:ascii="宋体" w:hAnsi="宋体" w:eastAsia="宋体" w:cs="宋体"/>
          <w:sz w:val="18"/>
          <w:szCs w:val="18"/>
          <w:bdr w:val="none" w:color="auto" w:sz="0" w:space="0"/>
        </w:rPr>
        <w:t>（</w:t>
      </w:r>
      <w:r>
        <w:rPr>
          <w:rFonts w:hint="default" w:ascii="Times New Roman" w:hAnsi="Times New Roman" w:eastAsia="宋体" w:cs="Times New Roman"/>
          <w:sz w:val="18"/>
          <w:szCs w:val="18"/>
          <w:bdr w:val="none" w:color="auto" w:sz="0" w:space="0"/>
        </w:rPr>
        <w:t>1</w:t>
      </w:r>
      <w:r>
        <w:rPr>
          <w:rFonts w:hint="eastAsia" w:ascii="宋体" w:hAnsi="宋体" w:eastAsia="宋体" w:cs="宋体"/>
          <w:sz w:val="18"/>
          <w:szCs w:val="18"/>
          <w:bdr w:val="none" w:color="auto" w:sz="0" w:space="0"/>
        </w:rPr>
        <w:t>）低位服务设施，包括低位导诉台、低位服务窗口、低位自助服务设备等；</w:t>
      </w:r>
    </w:p>
    <w:p w14:paraId="368FFA1B">
      <w:pPr>
        <w:pStyle w:val="5"/>
        <w:keepNext w:val="0"/>
        <w:keepLines w:val="0"/>
        <w:widowControl/>
        <w:suppressLineNumbers w:val="0"/>
        <w:spacing w:after="210" w:afterAutospacing="0" w:line="315" w:lineRule="atLeast"/>
        <w:ind w:left="0" w:firstLine="420"/>
        <w:rPr>
          <w:rFonts w:hint="eastAsia" w:ascii="宋体" w:hAnsi="宋体" w:eastAsia="宋体" w:cs="宋体"/>
          <w:sz w:val="18"/>
          <w:szCs w:val="18"/>
        </w:rPr>
      </w:pPr>
      <w:r>
        <w:rPr>
          <w:rFonts w:hint="eastAsia" w:ascii="宋体" w:hAnsi="宋体" w:eastAsia="宋体" w:cs="宋体"/>
          <w:sz w:val="18"/>
          <w:szCs w:val="18"/>
          <w:bdr w:val="none" w:color="auto" w:sz="0" w:space="0"/>
        </w:rPr>
        <w:t>（</w:t>
      </w:r>
      <w:r>
        <w:rPr>
          <w:rFonts w:hint="default" w:ascii="Times New Roman" w:hAnsi="Times New Roman" w:eastAsia="宋体" w:cs="Times New Roman"/>
          <w:sz w:val="18"/>
          <w:szCs w:val="18"/>
          <w:bdr w:val="none" w:color="auto" w:sz="0" w:space="0"/>
        </w:rPr>
        <w:t>2</w:t>
      </w:r>
      <w:r>
        <w:rPr>
          <w:rFonts w:hint="eastAsia" w:ascii="宋体" w:hAnsi="宋体" w:eastAsia="宋体" w:cs="宋体"/>
          <w:sz w:val="18"/>
          <w:szCs w:val="18"/>
          <w:bdr w:val="none" w:color="auto" w:sz="0" w:space="0"/>
        </w:rPr>
        <w:t>）满足无障碍要求的厕所，或者在方便残疾人进出的男、女厕所各设置至少一个无障碍厕位；</w:t>
      </w:r>
    </w:p>
    <w:p w14:paraId="2C75ABAA">
      <w:pPr>
        <w:pStyle w:val="5"/>
        <w:keepNext w:val="0"/>
        <w:keepLines w:val="0"/>
        <w:widowControl/>
        <w:suppressLineNumbers w:val="0"/>
        <w:spacing w:after="210" w:afterAutospacing="0" w:line="315" w:lineRule="atLeast"/>
        <w:ind w:left="0" w:firstLine="420"/>
        <w:rPr>
          <w:rFonts w:hint="eastAsia" w:ascii="宋体" w:hAnsi="宋体" w:eastAsia="宋体" w:cs="宋体"/>
          <w:sz w:val="18"/>
          <w:szCs w:val="18"/>
        </w:rPr>
      </w:pPr>
      <w:r>
        <w:rPr>
          <w:rFonts w:hint="eastAsia" w:ascii="宋体" w:hAnsi="宋体" w:eastAsia="宋体" w:cs="宋体"/>
          <w:sz w:val="18"/>
          <w:szCs w:val="18"/>
          <w:bdr w:val="none" w:color="auto" w:sz="0" w:space="0"/>
        </w:rPr>
        <w:t>（</w:t>
      </w:r>
      <w:r>
        <w:rPr>
          <w:rFonts w:hint="default" w:ascii="Times New Roman" w:hAnsi="Times New Roman" w:eastAsia="宋体" w:cs="Times New Roman"/>
          <w:sz w:val="18"/>
          <w:szCs w:val="18"/>
          <w:bdr w:val="none" w:color="auto" w:sz="0" w:space="0"/>
        </w:rPr>
        <w:t>3</w:t>
      </w:r>
      <w:r>
        <w:rPr>
          <w:rFonts w:hint="eastAsia" w:ascii="宋体" w:hAnsi="宋体" w:eastAsia="宋体" w:cs="宋体"/>
          <w:sz w:val="18"/>
          <w:szCs w:val="18"/>
          <w:bdr w:val="none" w:color="auto" w:sz="0" w:space="0"/>
        </w:rPr>
        <w:t>）可以根据场地实际和用途在诉讼服务大厅、调解室、审判法庭等区域设置轮椅席位。</w:t>
      </w:r>
    </w:p>
    <w:p w14:paraId="7A3E1DCC">
      <w:pPr>
        <w:pStyle w:val="5"/>
        <w:keepNext w:val="0"/>
        <w:keepLines w:val="0"/>
        <w:widowControl/>
        <w:suppressLineNumbers w:val="0"/>
        <w:spacing w:after="210" w:afterAutospacing="0" w:line="315" w:lineRule="atLeast"/>
        <w:ind w:left="0" w:firstLine="420"/>
        <w:rPr>
          <w:rFonts w:hint="eastAsia" w:ascii="宋体" w:hAnsi="宋体" w:eastAsia="宋体" w:cs="宋体"/>
          <w:sz w:val="18"/>
          <w:szCs w:val="18"/>
        </w:rPr>
      </w:pPr>
      <w:r>
        <w:rPr>
          <w:rFonts w:hint="default" w:ascii="Times New Roman" w:hAnsi="Times New Roman" w:eastAsia="宋体" w:cs="Times New Roman"/>
          <w:sz w:val="18"/>
          <w:szCs w:val="18"/>
          <w:bdr w:val="none" w:color="auto" w:sz="0" w:space="0"/>
        </w:rPr>
        <w:t>8</w:t>
      </w:r>
      <w:r>
        <w:rPr>
          <w:rFonts w:hint="eastAsia" w:ascii="宋体" w:hAnsi="宋体" w:eastAsia="宋体" w:cs="宋体"/>
          <w:sz w:val="18"/>
          <w:szCs w:val="18"/>
          <w:bdr w:val="none" w:color="auto" w:sz="0" w:space="0"/>
        </w:rPr>
        <w:t>.无障碍标识</w:t>
      </w:r>
    </w:p>
    <w:p w14:paraId="214D69AD">
      <w:pPr>
        <w:pStyle w:val="5"/>
        <w:keepNext w:val="0"/>
        <w:keepLines w:val="0"/>
        <w:widowControl/>
        <w:suppressLineNumbers w:val="0"/>
        <w:spacing w:after="210" w:afterAutospacing="0" w:line="315" w:lineRule="atLeast"/>
        <w:ind w:left="0" w:firstLine="420"/>
        <w:rPr>
          <w:rFonts w:hint="eastAsia" w:ascii="宋体" w:hAnsi="宋体" w:eastAsia="宋体" w:cs="宋体"/>
          <w:sz w:val="18"/>
          <w:szCs w:val="18"/>
        </w:rPr>
      </w:pPr>
      <w:r>
        <w:rPr>
          <w:rFonts w:hint="eastAsia" w:ascii="宋体" w:hAnsi="宋体" w:eastAsia="宋体" w:cs="宋体"/>
          <w:sz w:val="18"/>
          <w:szCs w:val="18"/>
          <w:bdr w:val="none" w:color="auto" w:sz="0" w:space="0"/>
        </w:rPr>
        <w:t>诉讼服务中心的无障碍设施处均应设置无障碍标识及文字说明。</w:t>
      </w:r>
    </w:p>
    <w:p w14:paraId="1E8DB126">
      <w:pPr>
        <w:pStyle w:val="5"/>
        <w:keepNext w:val="0"/>
        <w:keepLines w:val="0"/>
        <w:widowControl/>
        <w:suppressLineNumbers w:val="0"/>
        <w:spacing w:after="210" w:afterAutospacing="0" w:line="315" w:lineRule="atLeast"/>
        <w:ind w:left="0" w:firstLine="420"/>
        <w:rPr>
          <w:rFonts w:hint="eastAsia" w:ascii="宋体" w:hAnsi="宋体" w:eastAsia="宋体" w:cs="宋体"/>
          <w:sz w:val="18"/>
          <w:szCs w:val="18"/>
        </w:rPr>
      </w:pPr>
      <w:r>
        <w:rPr>
          <w:rFonts w:hint="default" w:ascii="Times New Roman" w:hAnsi="Times New Roman" w:eastAsia="宋体" w:cs="Times New Roman"/>
          <w:sz w:val="18"/>
          <w:szCs w:val="18"/>
          <w:bdr w:val="none" w:color="auto" w:sz="0" w:space="0"/>
        </w:rPr>
        <w:t>9</w:t>
      </w:r>
      <w:r>
        <w:rPr>
          <w:rFonts w:hint="eastAsia" w:ascii="宋体" w:hAnsi="宋体" w:eastAsia="宋体" w:cs="宋体"/>
          <w:sz w:val="18"/>
          <w:szCs w:val="18"/>
          <w:bdr w:val="none" w:color="auto" w:sz="0" w:space="0"/>
        </w:rPr>
        <w:t>.无障碍辅助设备</w:t>
      </w:r>
    </w:p>
    <w:p w14:paraId="1EFACEF8">
      <w:pPr>
        <w:pStyle w:val="5"/>
        <w:keepNext w:val="0"/>
        <w:keepLines w:val="0"/>
        <w:widowControl/>
        <w:suppressLineNumbers w:val="0"/>
        <w:spacing w:after="210" w:afterAutospacing="0" w:line="315" w:lineRule="atLeast"/>
        <w:ind w:left="0" w:firstLine="420"/>
        <w:rPr>
          <w:rFonts w:hint="eastAsia" w:ascii="宋体" w:hAnsi="宋体" w:eastAsia="宋体" w:cs="宋体"/>
          <w:sz w:val="18"/>
          <w:szCs w:val="18"/>
        </w:rPr>
      </w:pPr>
      <w:r>
        <w:rPr>
          <w:rFonts w:hint="eastAsia" w:ascii="宋体" w:hAnsi="宋体" w:eastAsia="宋体" w:cs="宋体"/>
          <w:sz w:val="18"/>
          <w:szCs w:val="18"/>
          <w:bdr w:val="none" w:color="auto" w:sz="0" w:space="0"/>
        </w:rPr>
        <w:t>诉讼服务中心应当根据实际为不同残疾类别、等级的残疾人配备以下无障碍辅助设备：</w:t>
      </w:r>
    </w:p>
    <w:p w14:paraId="3E5FD92C">
      <w:pPr>
        <w:pStyle w:val="5"/>
        <w:keepNext w:val="0"/>
        <w:keepLines w:val="0"/>
        <w:widowControl/>
        <w:suppressLineNumbers w:val="0"/>
        <w:spacing w:after="210" w:afterAutospacing="0" w:line="315" w:lineRule="atLeast"/>
        <w:ind w:left="0" w:firstLine="420"/>
        <w:rPr>
          <w:rFonts w:hint="eastAsia" w:ascii="宋体" w:hAnsi="宋体" w:eastAsia="宋体" w:cs="宋体"/>
          <w:sz w:val="18"/>
          <w:szCs w:val="18"/>
        </w:rPr>
      </w:pPr>
      <w:r>
        <w:rPr>
          <w:rFonts w:hint="eastAsia" w:ascii="宋体" w:hAnsi="宋体" w:eastAsia="宋体" w:cs="宋体"/>
          <w:sz w:val="18"/>
          <w:szCs w:val="18"/>
          <w:bdr w:val="none" w:color="auto" w:sz="0" w:space="0"/>
        </w:rPr>
        <w:t>（</w:t>
      </w:r>
      <w:r>
        <w:rPr>
          <w:rFonts w:hint="default" w:ascii="Times New Roman" w:hAnsi="Times New Roman" w:eastAsia="宋体" w:cs="Times New Roman"/>
          <w:sz w:val="18"/>
          <w:szCs w:val="18"/>
          <w:bdr w:val="none" w:color="auto" w:sz="0" w:space="0"/>
        </w:rPr>
        <w:t>1</w:t>
      </w:r>
      <w:r>
        <w:rPr>
          <w:rFonts w:hint="eastAsia" w:ascii="宋体" w:hAnsi="宋体" w:eastAsia="宋体" w:cs="宋体"/>
          <w:sz w:val="18"/>
          <w:szCs w:val="18"/>
          <w:bdr w:val="none" w:color="auto" w:sz="0" w:space="0"/>
        </w:rPr>
        <w:t>）为肢体残疾人提供拐杖、轮椅等移动辅助设备；</w:t>
      </w:r>
    </w:p>
    <w:p w14:paraId="599175DE">
      <w:pPr>
        <w:pStyle w:val="5"/>
        <w:keepNext w:val="0"/>
        <w:keepLines w:val="0"/>
        <w:widowControl/>
        <w:suppressLineNumbers w:val="0"/>
        <w:spacing w:after="210" w:afterAutospacing="0" w:line="315" w:lineRule="atLeast"/>
        <w:ind w:left="0" w:firstLine="420"/>
        <w:rPr>
          <w:rFonts w:hint="eastAsia" w:ascii="宋体" w:hAnsi="宋体" w:eastAsia="宋体" w:cs="宋体"/>
          <w:sz w:val="18"/>
          <w:szCs w:val="18"/>
        </w:rPr>
      </w:pPr>
      <w:r>
        <w:rPr>
          <w:rFonts w:hint="eastAsia" w:ascii="宋体" w:hAnsi="宋体" w:eastAsia="宋体" w:cs="宋体"/>
          <w:sz w:val="18"/>
          <w:szCs w:val="18"/>
          <w:bdr w:val="none" w:color="auto" w:sz="0" w:space="0"/>
        </w:rPr>
        <w:t>（</w:t>
      </w:r>
      <w:r>
        <w:rPr>
          <w:rFonts w:hint="default" w:ascii="Times New Roman" w:hAnsi="Times New Roman" w:eastAsia="宋体" w:cs="Times New Roman"/>
          <w:sz w:val="18"/>
          <w:szCs w:val="18"/>
          <w:bdr w:val="none" w:color="auto" w:sz="0" w:space="0"/>
        </w:rPr>
        <w:t>2</w:t>
      </w:r>
      <w:r>
        <w:rPr>
          <w:rFonts w:hint="eastAsia" w:ascii="宋体" w:hAnsi="宋体" w:eastAsia="宋体" w:cs="宋体"/>
          <w:sz w:val="18"/>
          <w:szCs w:val="18"/>
          <w:bdr w:val="none" w:color="auto" w:sz="0" w:space="0"/>
        </w:rPr>
        <w:t>）为视力残疾人提供放大镜等视力辅助设备；</w:t>
      </w:r>
    </w:p>
    <w:p w14:paraId="7DA11394">
      <w:pPr>
        <w:pStyle w:val="5"/>
        <w:keepNext w:val="0"/>
        <w:keepLines w:val="0"/>
        <w:widowControl/>
        <w:suppressLineNumbers w:val="0"/>
        <w:spacing w:after="210" w:afterAutospacing="0" w:line="315" w:lineRule="atLeast"/>
        <w:ind w:left="0" w:firstLine="420"/>
        <w:rPr>
          <w:rFonts w:hint="eastAsia" w:ascii="宋体" w:hAnsi="宋体" w:eastAsia="宋体" w:cs="宋体"/>
          <w:sz w:val="18"/>
          <w:szCs w:val="18"/>
        </w:rPr>
      </w:pPr>
      <w:r>
        <w:rPr>
          <w:rFonts w:hint="eastAsia" w:ascii="宋体" w:hAnsi="宋体" w:eastAsia="宋体" w:cs="宋体"/>
          <w:sz w:val="18"/>
          <w:szCs w:val="18"/>
          <w:bdr w:val="none" w:color="auto" w:sz="0" w:space="0"/>
        </w:rPr>
        <w:t>（</w:t>
      </w:r>
      <w:r>
        <w:rPr>
          <w:rFonts w:hint="default" w:ascii="Times New Roman" w:hAnsi="Times New Roman" w:eastAsia="宋体" w:cs="Times New Roman"/>
          <w:sz w:val="18"/>
          <w:szCs w:val="18"/>
          <w:bdr w:val="none" w:color="auto" w:sz="0" w:space="0"/>
        </w:rPr>
        <w:t>3</w:t>
      </w:r>
      <w:r>
        <w:rPr>
          <w:rFonts w:hint="eastAsia" w:ascii="宋体" w:hAnsi="宋体" w:eastAsia="宋体" w:cs="宋体"/>
          <w:sz w:val="18"/>
          <w:szCs w:val="18"/>
          <w:bdr w:val="none" w:color="auto" w:sz="0" w:space="0"/>
        </w:rPr>
        <w:t>）为听力残疾人提供无线辅听系统等听力辅助设备；</w:t>
      </w:r>
    </w:p>
    <w:p w14:paraId="70DDCD04">
      <w:pPr>
        <w:pStyle w:val="5"/>
        <w:keepNext w:val="0"/>
        <w:keepLines w:val="0"/>
        <w:widowControl/>
        <w:suppressLineNumbers w:val="0"/>
        <w:spacing w:after="210" w:afterAutospacing="0" w:line="315" w:lineRule="atLeast"/>
        <w:ind w:left="0" w:firstLine="420"/>
        <w:rPr>
          <w:rFonts w:hint="eastAsia" w:ascii="宋体" w:hAnsi="宋体" w:eastAsia="宋体" w:cs="宋体"/>
          <w:sz w:val="18"/>
          <w:szCs w:val="18"/>
        </w:rPr>
      </w:pPr>
      <w:r>
        <w:rPr>
          <w:rFonts w:hint="eastAsia" w:ascii="宋体" w:hAnsi="宋体" w:eastAsia="宋体" w:cs="宋体"/>
          <w:sz w:val="18"/>
          <w:szCs w:val="18"/>
          <w:bdr w:val="none" w:color="auto" w:sz="0" w:space="0"/>
        </w:rPr>
        <w:t>（</w:t>
      </w:r>
      <w:r>
        <w:rPr>
          <w:rFonts w:hint="default" w:ascii="Times New Roman" w:hAnsi="Times New Roman" w:eastAsia="宋体" w:cs="Times New Roman"/>
          <w:sz w:val="18"/>
          <w:szCs w:val="18"/>
          <w:bdr w:val="none" w:color="auto" w:sz="0" w:space="0"/>
        </w:rPr>
        <w:t>4</w:t>
      </w:r>
      <w:r>
        <w:rPr>
          <w:rFonts w:hint="eastAsia" w:ascii="宋体" w:hAnsi="宋体" w:eastAsia="宋体" w:cs="宋体"/>
          <w:sz w:val="18"/>
          <w:szCs w:val="18"/>
          <w:bdr w:val="none" w:color="auto" w:sz="0" w:space="0"/>
        </w:rPr>
        <w:t>）为言语残疾人提供手写板等信息沟通辅助设备。</w:t>
      </w:r>
    </w:p>
    <w:p w14:paraId="6E2B16B8">
      <w:pPr>
        <w:pStyle w:val="5"/>
        <w:keepNext w:val="0"/>
        <w:keepLines w:val="0"/>
        <w:widowControl/>
        <w:suppressLineNumbers w:val="0"/>
        <w:spacing w:after="210" w:afterAutospacing="0" w:line="315" w:lineRule="atLeast"/>
        <w:ind w:left="0" w:firstLine="420"/>
        <w:rPr>
          <w:rFonts w:hint="eastAsia" w:ascii="宋体" w:hAnsi="宋体" w:eastAsia="宋体" w:cs="宋体"/>
          <w:sz w:val="18"/>
          <w:szCs w:val="18"/>
        </w:rPr>
      </w:pPr>
      <w:r>
        <w:rPr>
          <w:rFonts w:hint="default" w:ascii="Times New Roman" w:hAnsi="Times New Roman" w:eastAsia="宋体" w:cs="Times New Roman"/>
          <w:sz w:val="18"/>
          <w:szCs w:val="18"/>
          <w:bdr w:val="none" w:color="auto" w:sz="0" w:space="0"/>
        </w:rPr>
        <w:t>10</w:t>
      </w:r>
      <w:r>
        <w:rPr>
          <w:rFonts w:hint="eastAsia" w:ascii="宋体" w:hAnsi="宋体" w:eastAsia="宋体" w:cs="宋体"/>
          <w:sz w:val="18"/>
          <w:szCs w:val="18"/>
          <w:bdr w:val="none" w:color="auto" w:sz="0" w:space="0"/>
        </w:rPr>
        <w:t>.无障碍诉讼资料</w:t>
      </w:r>
    </w:p>
    <w:p w14:paraId="2B4406C1">
      <w:pPr>
        <w:pStyle w:val="5"/>
        <w:keepNext w:val="0"/>
        <w:keepLines w:val="0"/>
        <w:widowControl/>
        <w:suppressLineNumbers w:val="0"/>
        <w:spacing w:after="210" w:afterAutospacing="0" w:line="315" w:lineRule="atLeast"/>
        <w:ind w:left="0" w:firstLine="420"/>
        <w:rPr>
          <w:rFonts w:hint="eastAsia" w:ascii="宋体" w:hAnsi="宋体" w:eastAsia="宋体" w:cs="宋体"/>
          <w:sz w:val="18"/>
          <w:szCs w:val="18"/>
        </w:rPr>
      </w:pPr>
      <w:r>
        <w:rPr>
          <w:rFonts w:hint="eastAsia" w:ascii="宋体" w:hAnsi="宋体" w:eastAsia="宋体" w:cs="宋体"/>
          <w:sz w:val="18"/>
          <w:szCs w:val="18"/>
          <w:bdr w:val="none" w:color="auto" w:sz="0" w:space="0"/>
        </w:rPr>
        <w:t>诉讼服务中心应当根据实际配备有声、大字、电子、盲文等无障碍版本的诉讼资料，包括诉前调解指南、立案、应诉、申请执行须知、人民法院在线服务等平台应用手册等：</w:t>
      </w:r>
    </w:p>
    <w:p w14:paraId="7C2FB16A">
      <w:pPr>
        <w:pStyle w:val="5"/>
        <w:keepNext w:val="0"/>
        <w:keepLines w:val="0"/>
        <w:widowControl/>
        <w:suppressLineNumbers w:val="0"/>
        <w:spacing w:after="210" w:afterAutospacing="0" w:line="315" w:lineRule="atLeast"/>
        <w:ind w:left="0" w:firstLine="420"/>
        <w:rPr>
          <w:rFonts w:hint="eastAsia" w:ascii="宋体" w:hAnsi="宋体" w:eastAsia="宋体" w:cs="宋体"/>
          <w:sz w:val="18"/>
          <w:szCs w:val="18"/>
        </w:rPr>
      </w:pPr>
      <w:r>
        <w:rPr>
          <w:rFonts w:hint="eastAsia" w:ascii="宋体" w:hAnsi="宋体" w:eastAsia="宋体" w:cs="宋体"/>
          <w:sz w:val="18"/>
          <w:szCs w:val="18"/>
          <w:bdr w:val="none" w:color="auto" w:sz="0" w:space="0"/>
        </w:rPr>
        <w:t>（</w:t>
      </w:r>
      <w:r>
        <w:rPr>
          <w:rFonts w:hint="default" w:ascii="Times New Roman" w:hAnsi="Times New Roman" w:eastAsia="宋体" w:cs="Times New Roman"/>
          <w:sz w:val="18"/>
          <w:szCs w:val="18"/>
          <w:bdr w:val="none" w:color="auto" w:sz="0" w:space="0"/>
        </w:rPr>
        <w:t>1</w:t>
      </w:r>
      <w:r>
        <w:rPr>
          <w:rFonts w:hint="eastAsia" w:ascii="宋体" w:hAnsi="宋体" w:eastAsia="宋体" w:cs="宋体"/>
          <w:sz w:val="18"/>
          <w:szCs w:val="18"/>
          <w:bdr w:val="none" w:color="auto" w:sz="0" w:space="0"/>
        </w:rPr>
        <w:t>）诉讼资料以纸质版提供的，字体字号设置应当不小于小三号，并设置合适的行间距，方便残疾人识别和使用；</w:t>
      </w:r>
    </w:p>
    <w:p w14:paraId="55357517">
      <w:pPr>
        <w:pStyle w:val="5"/>
        <w:keepNext w:val="0"/>
        <w:keepLines w:val="0"/>
        <w:widowControl/>
        <w:suppressLineNumbers w:val="0"/>
        <w:spacing w:after="210" w:afterAutospacing="0" w:line="315" w:lineRule="atLeast"/>
        <w:ind w:left="0" w:firstLine="420"/>
        <w:rPr>
          <w:rFonts w:hint="eastAsia" w:ascii="宋体" w:hAnsi="宋体" w:eastAsia="宋体" w:cs="宋体"/>
          <w:sz w:val="18"/>
          <w:szCs w:val="18"/>
        </w:rPr>
      </w:pPr>
      <w:r>
        <w:rPr>
          <w:rFonts w:hint="eastAsia" w:ascii="宋体" w:hAnsi="宋体" w:eastAsia="宋体" w:cs="宋体"/>
          <w:sz w:val="18"/>
          <w:szCs w:val="18"/>
          <w:bdr w:val="none" w:color="auto" w:sz="0" w:space="0"/>
        </w:rPr>
        <w:t>（</w:t>
      </w:r>
      <w:r>
        <w:rPr>
          <w:rFonts w:hint="default" w:ascii="Times New Roman" w:hAnsi="Times New Roman" w:eastAsia="宋体" w:cs="Times New Roman"/>
          <w:sz w:val="18"/>
          <w:szCs w:val="18"/>
          <w:bdr w:val="none" w:color="auto" w:sz="0" w:space="0"/>
        </w:rPr>
        <w:t>2</w:t>
      </w:r>
      <w:r>
        <w:rPr>
          <w:rFonts w:hint="eastAsia" w:ascii="宋体" w:hAnsi="宋体" w:eastAsia="宋体" w:cs="宋体"/>
          <w:sz w:val="18"/>
          <w:szCs w:val="18"/>
          <w:bdr w:val="none" w:color="auto" w:sz="0" w:space="0"/>
        </w:rPr>
        <w:t>）诉讼资料以电子版提供的，应当具备语音识别、页面字体放大或缩小等功能；</w:t>
      </w:r>
    </w:p>
    <w:p w14:paraId="5F358585">
      <w:pPr>
        <w:pStyle w:val="5"/>
        <w:keepNext w:val="0"/>
        <w:keepLines w:val="0"/>
        <w:widowControl/>
        <w:suppressLineNumbers w:val="0"/>
        <w:spacing w:after="210" w:afterAutospacing="0" w:line="315" w:lineRule="atLeast"/>
        <w:ind w:left="0" w:firstLine="420"/>
        <w:rPr>
          <w:rFonts w:hint="eastAsia" w:ascii="宋体" w:hAnsi="宋体" w:eastAsia="宋体" w:cs="宋体"/>
          <w:sz w:val="18"/>
          <w:szCs w:val="18"/>
        </w:rPr>
      </w:pPr>
      <w:r>
        <w:rPr>
          <w:rFonts w:hint="eastAsia" w:ascii="宋体" w:hAnsi="宋体" w:eastAsia="宋体" w:cs="宋体"/>
          <w:sz w:val="18"/>
          <w:szCs w:val="18"/>
          <w:bdr w:val="none" w:color="auto" w:sz="0" w:space="0"/>
        </w:rPr>
        <w:t>（</w:t>
      </w:r>
      <w:r>
        <w:rPr>
          <w:rFonts w:hint="default" w:ascii="Times New Roman" w:hAnsi="Times New Roman" w:eastAsia="宋体" w:cs="Times New Roman"/>
          <w:sz w:val="18"/>
          <w:szCs w:val="18"/>
          <w:bdr w:val="none" w:color="auto" w:sz="0" w:space="0"/>
        </w:rPr>
        <w:t>3</w:t>
      </w:r>
      <w:r>
        <w:rPr>
          <w:rFonts w:hint="eastAsia" w:ascii="宋体" w:hAnsi="宋体" w:eastAsia="宋体" w:cs="宋体"/>
          <w:sz w:val="18"/>
          <w:szCs w:val="18"/>
          <w:bdr w:val="none" w:color="auto" w:sz="0" w:space="0"/>
        </w:rPr>
        <w:t>）诉讼资料以盲文版提供的，应当符合《国家通用盲文方案》的规范要求。</w:t>
      </w:r>
    </w:p>
    <w:p w14:paraId="23F6031C">
      <w:pPr>
        <w:pStyle w:val="5"/>
        <w:keepNext w:val="0"/>
        <w:keepLines w:val="0"/>
        <w:widowControl/>
        <w:suppressLineNumbers w:val="0"/>
        <w:spacing w:after="210" w:afterAutospacing="0" w:line="315" w:lineRule="atLeast"/>
        <w:ind w:left="0" w:firstLine="420"/>
        <w:rPr>
          <w:rFonts w:hint="eastAsia" w:ascii="宋体" w:hAnsi="宋体" w:eastAsia="宋体" w:cs="宋体"/>
          <w:sz w:val="18"/>
          <w:szCs w:val="18"/>
        </w:rPr>
      </w:pPr>
      <w:r>
        <w:rPr>
          <w:rFonts w:hint="default" w:ascii="Times New Roman" w:hAnsi="Times New Roman" w:eastAsia="宋体" w:cs="Times New Roman"/>
          <w:sz w:val="18"/>
          <w:szCs w:val="18"/>
          <w:bdr w:val="none" w:color="auto" w:sz="0" w:space="0"/>
        </w:rPr>
        <w:t>11</w:t>
      </w:r>
      <w:r>
        <w:rPr>
          <w:rFonts w:hint="eastAsia" w:ascii="宋体" w:hAnsi="宋体" w:eastAsia="宋体" w:cs="宋体"/>
          <w:sz w:val="18"/>
          <w:szCs w:val="18"/>
          <w:bdr w:val="none" w:color="auto" w:sz="0" w:space="0"/>
        </w:rPr>
        <w:t>.人员培训管理</w:t>
      </w:r>
    </w:p>
    <w:p w14:paraId="4B814CDD">
      <w:pPr>
        <w:pStyle w:val="5"/>
        <w:keepNext w:val="0"/>
        <w:keepLines w:val="0"/>
        <w:widowControl/>
        <w:suppressLineNumbers w:val="0"/>
        <w:spacing w:after="210" w:afterAutospacing="0" w:line="315" w:lineRule="atLeast"/>
        <w:ind w:left="0" w:firstLine="420"/>
        <w:rPr>
          <w:rFonts w:hint="eastAsia" w:ascii="宋体" w:hAnsi="宋体" w:eastAsia="宋体" w:cs="宋体"/>
          <w:sz w:val="18"/>
          <w:szCs w:val="18"/>
        </w:rPr>
      </w:pPr>
      <w:r>
        <w:rPr>
          <w:rFonts w:hint="eastAsia" w:ascii="宋体" w:hAnsi="宋体" w:eastAsia="宋体" w:cs="宋体"/>
          <w:sz w:val="18"/>
          <w:szCs w:val="18"/>
          <w:bdr w:val="none" w:color="auto" w:sz="0" w:space="0"/>
        </w:rPr>
        <w:t>人民法院应当在诉讼服务中心推广使用残疾人联合会及专门协会单位制定的无障碍服务使用手册，加强对诉讼服务人员、立案人员、驻院调解员等培训及考核，进一步提高人民法院无障碍服务水平。</w:t>
      </w:r>
    </w:p>
    <w:p w14:paraId="25363387">
      <w:pPr>
        <w:pStyle w:val="5"/>
        <w:keepNext w:val="0"/>
        <w:keepLines w:val="0"/>
        <w:widowControl/>
        <w:suppressLineNumbers w:val="0"/>
        <w:spacing w:after="210" w:afterAutospacing="0" w:line="315" w:lineRule="atLeast"/>
        <w:ind w:left="0" w:firstLine="420"/>
        <w:rPr>
          <w:rFonts w:hint="eastAsia" w:ascii="宋体" w:hAnsi="宋体" w:eastAsia="宋体" w:cs="宋体"/>
          <w:sz w:val="18"/>
          <w:szCs w:val="18"/>
        </w:rPr>
      </w:pPr>
      <w:r>
        <w:rPr>
          <w:rFonts w:hint="default" w:ascii="Times New Roman" w:hAnsi="Times New Roman" w:eastAsia="宋体" w:cs="Times New Roman"/>
          <w:sz w:val="18"/>
          <w:szCs w:val="18"/>
          <w:bdr w:val="none" w:color="auto" w:sz="0" w:space="0"/>
        </w:rPr>
        <w:t>12</w:t>
      </w:r>
      <w:r>
        <w:rPr>
          <w:rFonts w:hint="eastAsia" w:ascii="宋体" w:hAnsi="宋体" w:eastAsia="宋体" w:cs="宋体"/>
          <w:sz w:val="18"/>
          <w:szCs w:val="18"/>
          <w:bdr w:val="none" w:color="auto" w:sz="0" w:space="0"/>
        </w:rPr>
        <w:t>.建设标准</w:t>
      </w:r>
    </w:p>
    <w:p w14:paraId="00D20F93">
      <w:pPr>
        <w:pStyle w:val="5"/>
        <w:keepNext w:val="0"/>
        <w:keepLines w:val="0"/>
        <w:widowControl/>
        <w:suppressLineNumbers w:val="0"/>
        <w:spacing w:after="210" w:afterAutospacing="0" w:line="315" w:lineRule="atLeast"/>
        <w:ind w:left="0" w:firstLine="420"/>
        <w:rPr>
          <w:rFonts w:hint="eastAsia" w:ascii="宋体" w:hAnsi="宋体" w:eastAsia="宋体" w:cs="宋体"/>
          <w:sz w:val="18"/>
          <w:szCs w:val="18"/>
        </w:rPr>
      </w:pPr>
      <w:r>
        <w:rPr>
          <w:rFonts w:hint="eastAsia" w:ascii="宋体" w:hAnsi="宋体" w:eastAsia="宋体" w:cs="宋体"/>
          <w:sz w:val="18"/>
          <w:szCs w:val="18"/>
          <w:bdr w:val="none" w:color="auto" w:sz="0" w:space="0"/>
        </w:rPr>
        <w:t>诉讼服务中心无障碍环境建设应当符合《建筑与市政工程无障碍通用规范》（GB</w:t>
      </w:r>
      <w:r>
        <w:rPr>
          <w:rFonts w:hint="default" w:ascii="Times New Roman" w:hAnsi="Times New Roman" w:eastAsia="宋体" w:cs="Times New Roman"/>
          <w:sz w:val="18"/>
          <w:szCs w:val="18"/>
          <w:bdr w:val="none" w:color="auto" w:sz="0" w:space="0"/>
        </w:rPr>
        <w:t xml:space="preserve"> 55019</w:t>
      </w:r>
      <w:r>
        <w:rPr>
          <w:rFonts w:hint="eastAsia" w:ascii="宋体" w:hAnsi="宋体" w:eastAsia="宋体" w:cs="宋体"/>
          <w:sz w:val="18"/>
          <w:szCs w:val="18"/>
          <w:bdr w:val="none" w:color="auto" w:sz="0" w:space="0"/>
        </w:rPr>
        <w:t>-</w:t>
      </w:r>
      <w:r>
        <w:rPr>
          <w:rFonts w:hint="default" w:ascii="Times New Roman" w:hAnsi="Times New Roman" w:eastAsia="宋体" w:cs="Times New Roman"/>
          <w:sz w:val="18"/>
          <w:szCs w:val="18"/>
          <w:bdr w:val="none" w:color="auto" w:sz="0" w:space="0"/>
        </w:rPr>
        <w:t>2021</w:t>
      </w:r>
      <w:r>
        <w:rPr>
          <w:rFonts w:hint="eastAsia" w:ascii="宋体" w:hAnsi="宋体" w:eastAsia="宋体" w:cs="宋体"/>
          <w:sz w:val="18"/>
          <w:szCs w:val="18"/>
          <w:bdr w:val="none" w:color="auto" w:sz="0" w:space="0"/>
        </w:rPr>
        <w:t>）等国家无障碍环境建设标准的规定。</w:t>
      </w:r>
    </w:p>
    <w:p w14:paraId="5040F9E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E77241"/>
    <w:rsid w:val="01C77CDA"/>
    <w:rsid w:val="08BD6586"/>
    <w:rsid w:val="19CD68A8"/>
    <w:rsid w:val="2185081B"/>
    <w:rsid w:val="24D74C5F"/>
    <w:rsid w:val="2B802221"/>
    <w:rsid w:val="4C20442F"/>
    <w:rsid w:val="5BE77241"/>
    <w:rsid w:val="6F843E23"/>
    <w:rsid w:val="7668583A"/>
    <w:rsid w:val="7D221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eastAsia="宋体" w:asciiTheme="minorAscii" w:hAnsiTheme="minorAscii" w:cstheme="minorBidi"/>
      <w:kern w:val="2"/>
      <w:sz w:val="28"/>
      <w:szCs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Times New Roman" w:hAnsi="Times New Roman" w:eastAsia="宋体"/>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link w:val="8"/>
    <w:uiPriority w:val="0"/>
    <w:pPr>
      <w:widowControl w:val="0"/>
      <w:adjustRightInd/>
      <w:snapToGrid/>
      <w:spacing w:after="0" w:line="300" w:lineRule="auto"/>
      <w:ind w:firstLine="200" w:firstLineChars="200"/>
      <w:jc w:val="both"/>
    </w:pPr>
    <w:rPr>
      <w:rFonts w:ascii="Calibri" w:hAnsi="Calibri" w:eastAsia="宋体" w:cs="Times New Roman"/>
      <w:kern w:val="2"/>
      <w:sz w:val="28"/>
    </w:rPr>
  </w:style>
  <w:style w:type="paragraph" w:styleId="4">
    <w:name w:val="toc 1"/>
    <w:basedOn w:val="1"/>
    <w:next w:val="1"/>
    <w:qFormat/>
    <w:uiPriority w:val="0"/>
    <w:pPr>
      <w:widowControl/>
      <w:tabs>
        <w:tab w:val="right" w:leader="dot" w:pos="8296"/>
      </w:tabs>
      <w:spacing w:after="100" w:line="259" w:lineRule="auto"/>
      <w:ind w:firstLine="442"/>
      <w:jc w:val="center"/>
    </w:pPr>
    <w:rPr>
      <w:rFonts w:cs="Times New Roman"/>
      <w:kern w:val="0"/>
      <w:sz w:val="22"/>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8">
    <w:name w:val="正文缩进 字符"/>
    <w:link w:val="3"/>
    <w:qFormat/>
    <w:uiPriority w:val="99"/>
    <w:rPr>
      <w:rFonts w:ascii="Calibri" w:hAnsi="Calibri" w:eastAsia="宋体" w:cs="Times New Roman"/>
      <w:sz w:val="28"/>
    </w:rPr>
  </w:style>
  <w:style w:type="paragraph" w:customStyle="1" w:styleId="9">
    <w:name w:val="正 文"/>
    <w:basedOn w:val="1"/>
    <w:qFormat/>
    <w:uiPriority w:val="0"/>
    <w:pPr>
      <w:widowControl/>
      <w:adjustRightInd w:val="0"/>
      <w:jc w:val="left"/>
      <w:textAlignment w:val="baseline"/>
    </w:pPr>
    <w:rPr>
      <w:rFonts w:ascii="Calibri" w:hAnsi="Calibri" w:eastAsia="宋体"/>
      <w:kern w:val="0"/>
      <w:sz w:val="28"/>
      <w:szCs w:val="32"/>
      <w:lang w:eastAsia="en-US" w:bidi="en-US"/>
    </w:rPr>
  </w:style>
  <w:style w:type="paragraph" w:styleId="10">
    <w:name w:val="List Paragraph"/>
    <w:basedOn w:val="1"/>
    <w:qFormat/>
    <w:uiPriority w:val="34"/>
    <w:pPr>
      <w:ind w:firstLine="420" w:firstLineChars="200"/>
    </w:pPr>
    <w:rPr>
      <w:rFonts w:asciiTheme="minorAscii" w:hAnsiTheme="minorAscii" w:eastAsiaTheme="minorEastAsia"/>
      <w:sz w:val="28"/>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35</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2026-01-27T09:01:00Z</dcterms:created>
  <dc:creator>申俊珍</dc:creator>
  <cp:lastModifiedBy>申俊珍</cp:lastModifiedBy>
  <dcterms:modified xsi:type="dcterms:W3CDTF">2026-01-27T09:01:31Z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4A44B680B7BA4D46A8E79018D2749C07_11</vt:lpwstr>
  </property>
  <property fmtid="{D5CDD505-2E9C-101B-9397-08002B2CF9AE}" pid="4" name="KSOTemplateDocerSaveRecord">
    <vt:lpwstr>eyJoZGlkIjoiNGFkOTM4YjdiNDBkMTNiYWMxNjY5NzllNjgxZDM5ODgiLCJ1c2VySWQiOiI0NTcxNzM2MDYifQ==</vt:lpwstr>
  </property>
</Properties>
</file>