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480"/>
        <w:jc w:val="left"/>
        <w:rPr>
          <w:rFonts w:ascii="黑体" w:hAnsi="黑体" w:eastAsia="黑体" w:cs="宋体"/>
          <w:color w:val="000000"/>
          <w:kern w:val="0"/>
        </w:rPr>
      </w:pPr>
      <w:bookmarkStart w:id="1" w:name="_GoBack"/>
      <w:bookmarkEnd w:id="1"/>
      <w:r>
        <w:rPr>
          <w:rFonts w:hint="eastAsia" w:ascii="黑体" w:hAnsi="黑体" w:eastAsia="黑体" w:cs="宋体"/>
          <w:color w:val="000000"/>
          <w:kern w:val="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2019年北京市残疾人基本需求和服务状况动态更新督导及质量控制项目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综合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评分表</w:t>
      </w:r>
    </w:p>
    <w:tbl>
      <w:tblPr>
        <w:tblStyle w:val="10"/>
        <w:tblW w:w="14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33"/>
        <w:gridCol w:w="1047"/>
        <w:gridCol w:w="8665"/>
        <w:gridCol w:w="834"/>
        <w:gridCol w:w="713"/>
        <w:gridCol w:w="713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  <w:jc w:val="center"/>
        </w:trPr>
        <w:tc>
          <w:tcPr>
            <w:tcW w:w="1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采购单位：  北京市残疾人社会服务指导中心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  <w:jc w:val="center"/>
        </w:trPr>
        <w:tc>
          <w:tcPr>
            <w:tcW w:w="57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04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标准分</w:t>
            </w:r>
          </w:p>
        </w:tc>
        <w:tc>
          <w:tcPr>
            <w:tcW w:w="866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评分标准</w:t>
            </w:r>
          </w:p>
        </w:tc>
        <w:tc>
          <w:tcPr>
            <w:tcW w:w="8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得分1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得分2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得分3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技术部分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（60分）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响应文件响应程度（8分）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依据磋商文件要求编制完整、准确、清晰、具有创新内容的商务、技术文件。响应文件包含所有的资质、商务和技术文件，文字表述严谨准确、符合项目需求，内容表达结构完整、层次清晰，在质量控制方式等符合委托方要求。优：6-8分   良：3-5分    差：0-2分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0-8分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总体理解（10分）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对本项目的实施目的、项目特点理解到位。能够准确解读本项目的实施背景和目的，并结合项目需求准确把握项目实施的重点和难点。优：8-10分   良：4-7分    差：0-3分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0-10分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实施方案与组织保障评价（24分）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1.结合北京市残疾人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需求采集和服务响应常态化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工作质量控制项目的需求，设计具有科学性、合理性、实效性的质量控制方案。优：8-10分   良：4-7分    差：0-3分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0-10分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2.设计具有合理性、实效性、创新性的质量控制方法。评估方法符合北京市残疾人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需求采集和服务响应常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工作实际，能够落地执行，同时，在质量控制方法体现系统性。优：8-10分   良：4-7分    差：0-3分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0-10分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3.设计合理、详细的时间安排，满足项目要求。工作进度安排紧凑有序，时间安排须明确到项目执行的各个环节。优： 4分   良：2-3分    差：0-1分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0-4分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bookmarkStart w:id="0" w:name="RANGE!B9"/>
            <w:bookmarkEnd w:id="0"/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组织机构（12分）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 投入项目中的人员符合本项目需求的素质和能力要求。成立结构合理的项目组，且成员资质、能力、成功实施项目的经验，能够确保本项目高质量完成。优：4-6分   良：2-3分    差：0-1分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0-6分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2. 项目负责人：个人简历（包括受教育和工作经历）及与政府合作或参与大样本数据采集的项目经历，与普查有关的经历。优：4-6分   良：2-3分    差：0-1分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0-6分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成果提交（6分）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提交包括过程文件和结果文件在内的全面的项目成果，确保本项目的工作留痕、可追溯，有助于政府决策分析。优：4-6分   良：2-3分    差：0-1分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0-6分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商务部分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（30分）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资信状况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（5分）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根据报价人的经营及资信状况、以往履约情况及是否有不良记录或诉讼等综合实力打分。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优：4-5分   良：2-3分    差：0-1分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0-6分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报价人资质情况（9分）</w:t>
            </w: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报价人具有以下证书的每个得3分，最高得9分。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0-9分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具有ISO9001质量管理体系认证证书；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具有ISO职业健康安全管理体系认证；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3.具有ISO环境管理体系认证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以上须提供证书的复印件加盖公章。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企业业绩及经验（16分）</w:t>
            </w:r>
          </w:p>
        </w:tc>
        <w:tc>
          <w:tcPr>
            <w:tcW w:w="86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近三年内的同类项目案例（以合同签订日期为准）每个一般案例得2分，最多得10分。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0-16分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为省部级及以上单位提供服务的类似案例每个得2分，最多得6分。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以上业绩证明均以报价人提供的有效合同复印件为准，要求必须提供合同首页、签字盖章页复印件作为证明。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价格部分（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10分）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价格（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10分）</w:t>
            </w:r>
          </w:p>
        </w:tc>
        <w:tc>
          <w:tcPr>
            <w:tcW w:w="8665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价格分采用低价优先法，即满足采购文件要求且价格最低的报价为基准价，其价格分为满分，其他服务商的价格分统一按下列公式计算：响应报价得分=（基准价/响应报价）×10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0-10分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100分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29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评委签名：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6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15924693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15924693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8"/>
    <w:rsid w:val="0000002F"/>
    <w:rsid w:val="00031CAC"/>
    <w:rsid w:val="00045AC1"/>
    <w:rsid w:val="000833A7"/>
    <w:rsid w:val="0009384B"/>
    <w:rsid w:val="000C5B27"/>
    <w:rsid w:val="000E0593"/>
    <w:rsid w:val="000E70E5"/>
    <w:rsid w:val="000F5E61"/>
    <w:rsid w:val="00125ACC"/>
    <w:rsid w:val="001327FE"/>
    <w:rsid w:val="00136678"/>
    <w:rsid w:val="0015451D"/>
    <w:rsid w:val="00191044"/>
    <w:rsid w:val="001A31A8"/>
    <w:rsid w:val="001A7728"/>
    <w:rsid w:val="001D50FE"/>
    <w:rsid w:val="001E11C0"/>
    <w:rsid w:val="001E13B6"/>
    <w:rsid w:val="00232F99"/>
    <w:rsid w:val="00240C43"/>
    <w:rsid w:val="002459BB"/>
    <w:rsid w:val="00254244"/>
    <w:rsid w:val="00287C13"/>
    <w:rsid w:val="00291ECF"/>
    <w:rsid w:val="002929F8"/>
    <w:rsid w:val="002A43E8"/>
    <w:rsid w:val="002D0CAC"/>
    <w:rsid w:val="002E56E3"/>
    <w:rsid w:val="003464D0"/>
    <w:rsid w:val="00361799"/>
    <w:rsid w:val="003B2381"/>
    <w:rsid w:val="003B3E2D"/>
    <w:rsid w:val="003D61A9"/>
    <w:rsid w:val="003E6AF0"/>
    <w:rsid w:val="003E76FA"/>
    <w:rsid w:val="004000DF"/>
    <w:rsid w:val="004C16AB"/>
    <w:rsid w:val="004C51AE"/>
    <w:rsid w:val="00503DAB"/>
    <w:rsid w:val="005739B4"/>
    <w:rsid w:val="005929DB"/>
    <w:rsid w:val="005F1E8C"/>
    <w:rsid w:val="005F37A1"/>
    <w:rsid w:val="00603B58"/>
    <w:rsid w:val="00611105"/>
    <w:rsid w:val="00673896"/>
    <w:rsid w:val="006777A9"/>
    <w:rsid w:val="006872EF"/>
    <w:rsid w:val="006B6CBA"/>
    <w:rsid w:val="006B7224"/>
    <w:rsid w:val="006D10C4"/>
    <w:rsid w:val="006D1E8D"/>
    <w:rsid w:val="00710A8F"/>
    <w:rsid w:val="00717C36"/>
    <w:rsid w:val="007337F1"/>
    <w:rsid w:val="00753B01"/>
    <w:rsid w:val="0075544E"/>
    <w:rsid w:val="007660F2"/>
    <w:rsid w:val="007967A3"/>
    <w:rsid w:val="007D058C"/>
    <w:rsid w:val="007E54FB"/>
    <w:rsid w:val="007E7541"/>
    <w:rsid w:val="007F74DE"/>
    <w:rsid w:val="00823216"/>
    <w:rsid w:val="00853621"/>
    <w:rsid w:val="008776E5"/>
    <w:rsid w:val="008810BC"/>
    <w:rsid w:val="00881ED0"/>
    <w:rsid w:val="008F15F2"/>
    <w:rsid w:val="00901916"/>
    <w:rsid w:val="009106B2"/>
    <w:rsid w:val="00920D32"/>
    <w:rsid w:val="0093406C"/>
    <w:rsid w:val="00936845"/>
    <w:rsid w:val="00941EB1"/>
    <w:rsid w:val="00985269"/>
    <w:rsid w:val="009976C4"/>
    <w:rsid w:val="009B108A"/>
    <w:rsid w:val="00A101BD"/>
    <w:rsid w:val="00A11E21"/>
    <w:rsid w:val="00A1206D"/>
    <w:rsid w:val="00A467DB"/>
    <w:rsid w:val="00A614BD"/>
    <w:rsid w:val="00AA0931"/>
    <w:rsid w:val="00AB5856"/>
    <w:rsid w:val="00AE66F3"/>
    <w:rsid w:val="00B1328E"/>
    <w:rsid w:val="00B1643C"/>
    <w:rsid w:val="00B23F6E"/>
    <w:rsid w:val="00BA04E8"/>
    <w:rsid w:val="00BA130C"/>
    <w:rsid w:val="00C10A0B"/>
    <w:rsid w:val="00C177AB"/>
    <w:rsid w:val="00C331F6"/>
    <w:rsid w:val="00C415E6"/>
    <w:rsid w:val="00C73EAD"/>
    <w:rsid w:val="00C75E8A"/>
    <w:rsid w:val="00C82B87"/>
    <w:rsid w:val="00CA371F"/>
    <w:rsid w:val="00CA48D2"/>
    <w:rsid w:val="00CE0A87"/>
    <w:rsid w:val="00CF1486"/>
    <w:rsid w:val="00D16002"/>
    <w:rsid w:val="00D30C9B"/>
    <w:rsid w:val="00DB5878"/>
    <w:rsid w:val="00E412F0"/>
    <w:rsid w:val="00E971A6"/>
    <w:rsid w:val="00EA0020"/>
    <w:rsid w:val="00EA7D3A"/>
    <w:rsid w:val="00EB22A2"/>
    <w:rsid w:val="00EB323E"/>
    <w:rsid w:val="00EC1C76"/>
    <w:rsid w:val="00EC4B98"/>
    <w:rsid w:val="00EE3770"/>
    <w:rsid w:val="00EF1E01"/>
    <w:rsid w:val="00F067A7"/>
    <w:rsid w:val="00F21E20"/>
    <w:rsid w:val="00F349F2"/>
    <w:rsid w:val="00F45090"/>
    <w:rsid w:val="00F50973"/>
    <w:rsid w:val="00FE2303"/>
    <w:rsid w:val="00FF62DB"/>
    <w:rsid w:val="019C661E"/>
    <w:rsid w:val="04BE2062"/>
    <w:rsid w:val="15DC24CD"/>
    <w:rsid w:val="21E61C1D"/>
    <w:rsid w:val="27F23EA5"/>
    <w:rsid w:val="28831262"/>
    <w:rsid w:val="2A827CDE"/>
    <w:rsid w:val="2D3134D3"/>
    <w:rsid w:val="37DA02EF"/>
    <w:rsid w:val="402C647D"/>
    <w:rsid w:val="48C93392"/>
    <w:rsid w:val="52141AA7"/>
    <w:rsid w:val="5C5107D0"/>
    <w:rsid w:val="603C144B"/>
    <w:rsid w:val="62C45D47"/>
    <w:rsid w:val="67F56A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Hyperlink"/>
    <w:basedOn w:val="11"/>
    <w:semiHidden/>
    <w:unhideWhenUsed/>
    <w:qFormat/>
    <w:uiPriority w:val="99"/>
    <w:rPr>
      <w:color w:val="404040"/>
      <w:u w:val="non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5">
    <w:name w:val="f-fr"/>
    <w:basedOn w:val="11"/>
    <w:qFormat/>
    <w:uiPriority w:val="0"/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HTML 预设格式 字符"/>
    <w:link w:val="8"/>
    <w:qFormat/>
    <w:uiPriority w:val="0"/>
    <w:rPr>
      <w:rFonts w:ascii="宋体" w:hAnsi="宋体"/>
      <w:sz w:val="24"/>
    </w:rPr>
  </w:style>
  <w:style w:type="character" w:customStyle="1" w:styleId="20">
    <w:name w:val="HTML 预设格式 Char1"/>
    <w:basedOn w:val="1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1">
    <w:name w:val="批注文字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488</Words>
  <Characters>2786</Characters>
  <Lines>23</Lines>
  <Paragraphs>6</Paragraphs>
  <TotalTime>14</TotalTime>
  <ScaleCrop>false</ScaleCrop>
  <LinksUpToDate>false</LinksUpToDate>
  <CharactersWithSpaces>3268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2019-08-29T08:21:00Z</dcterms:created>
  <dc:creator>王剑</dc:creator>
  <cp:lastModifiedBy>屈春晖</cp:lastModifiedBy>
  <cp:lastPrinted>2019-09-02T08:39:00Z</cp:lastPrinted>
  <dcterms:modified xsi:type="dcterms:W3CDTF">2019-09-06T03:40:13Z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